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72"/>
          <w:szCs w:val="72"/>
        </w:rPr>
      </w:pPr>
    </w:p>
    <w:p>
      <w:pPr>
        <w:spacing w:line="360" w:lineRule="auto"/>
        <w:jc w:val="center"/>
        <w:rPr>
          <w:rFonts w:hAnsi="宋体"/>
          <w:sz w:val="72"/>
          <w:szCs w:val="72"/>
        </w:rPr>
      </w:pPr>
      <w:r>
        <w:rPr>
          <w:rFonts w:hint="eastAsia" w:hAnsi="宋体"/>
          <w:sz w:val="72"/>
          <w:szCs w:val="72"/>
        </w:rPr>
        <w:t>南京审计大学</w:t>
      </w:r>
    </w:p>
    <w:p>
      <w:pPr>
        <w:spacing w:line="360" w:lineRule="auto"/>
        <w:jc w:val="center"/>
        <w:rPr>
          <w:rFonts w:hAnsi="宋体"/>
          <w:sz w:val="72"/>
          <w:szCs w:val="72"/>
        </w:rPr>
      </w:pPr>
    </w:p>
    <w:p>
      <w:pPr>
        <w:spacing w:line="360" w:lineRule="auto"/>
        <w:jc w:val="center"/>
        <w:rPr>
          <w:rFonts w:hAnsi="宋体"/>
          <w:sz w:val="72"/>
          <w:szCs w:val="72"/>
        </w:rPr>
      </w:pPr>
      <w:r>
        <w:rPr>
          <w:rFonts w:hint="eastAsia" w:hAnsi="宋体"/>
          <w:sz w:val="72"/>
          <w:szCs w:val="72"/>
        </w:rPr>
        <w:t>竞争性谈判采购文件</w:t>
      </w:r>
    </w:p>
    <w:p>
      <w:pPr>
        <w:spacing w:line="360" w:lineRule="auto"/>
        <w:jc w:val="center"/>
        <w:rPr>
          <w:rFonts w:hAnsi="宋体"/>
          <w:b/>
          <w:sz w:val="72"/>
          <w:szCs w:val="72"/>
        </w:rPr>
      </w:pPr>
    </w:p>
    <w:p>
      <w:pPr>
        <w:spacing w:line="360" w:lineRule="auto"/>
        <w:jc w:val="center"/>
        <w:rPr>
          <w:rFonts w:hAnsi="宋体"/>
          <w:b/>
          <w:sz w:val="72"/>
          <w:szCs w:val="72"/>
        </w:rPr>
      </w:pPr>
    </w:p>
    <w:p>
      <w:pPr>
        <w:spacing w:line="360" w:lineRule="auto"/>
        <w:jc w:val="center"/>
        <w:rPr>
          <w:rFonts w:hAnsi="宋体"/>
          <w:b/>
          <w:sz w:val="72"/>
          <w:szCs w:val="72"/>
        </w:rPr>
      </w:pPr>
    </w:p>
    <w:p>
      <w:pPr>
        <w:ind w:firstLine="640" w:firstLineChars="200"/>
        <w:rPr>
          <w:rFonts w:hAnsi="宋体"/>
          <w:sz w:val="32"/>
          <w:szCs w:val="36"/>
          <w:u w:val="single"/>
        </w:rPr>
      </w:pPr>
      <w:r>
        <w:rPr>
          <w:rFonts w:hint="eastAsia" w:hAnsi="宋体"/>
          <w:sz w:val="32"/>
          <w:szCs w:val="36"/>
        </w:rPr>
        <w:t>采购项目：</w:t>
      </w:r>
      <w:r>
        <w:rPr>
          <w:rFonts w:hint="eastAsia" w:hAnsi="宋体"/>
          <w:sz w:val="32"/>
          <w:szCs w:val="36"/>
          <w:u w:val="single"/>
        </w:rPr>
        <w:t xml:space="preserve">  </w:t>
      </w:r>
      <w:r>
        <w:rPr>
          <w:rFonts w:hint="eastAsia" w:hAnsi="宋体"/>
          <w:sz w:val="32"/>
          <w:szCs w:val="36"/>
          <w:u w:val="single"/>
          <w:lang w:val="en-US" w:eastAsia="zh-CN"/>
        </w:rPr>
        <w:t xml:space="preserve">       电子图书（远程包库）</w:t>
      </w:r>
      <w:r>
        <w:rPr>
          <w:rFonts w:hint="eastAsia" w:hAnsi="宋体"/>
          <w:sz w:val="32"/>
          <w:szCs w:val="36"/>
          <w:u w:val="single"/>
        </w:rPr>
        <w:t xml:space="preserve"> </w:t>
      </w:r>
      <w:r>
        <w:rPr>
          <w:rFonts w:hint="eastAsia" w:hAnsi="宋体"/>
          <w:sz w:val="32"/>
          <w:szCs w:val="36"/>
          <w:u w:val="single"/>
          <w:lang w:val="en-US" w:eastAsia="zh-CN"/>
        </w:rPr>
        <w:t xml:space="preserve">     </w:t>
      </w:r>
    </w:p>
    <w:p>
      <w:pPr>
        <w:ind w:firstLine="640" w:firstLineChars="200"/>
        <w:rPr>
          <w:rFonts w:hAnsi="宋体"/>
          <w:sz w:val="32"/>
          <w:szCs w:val="36"/>
          <w:u w:val="single"/>
        </w:rPr>
      </w:pPr>
      <w:r>
        <w:rPr>
          <w:rFonts w:hint="eastAsia" w:hAnsi="宋体"/>
          <w:sz w:val="32"/>
          <w:szCs w:val="36"/>
        </w:rPr>
        <w:t>采购编号：</w:t>
      </w:r>
      <w:r>
        <w:rPr>
          <w:rFonts w:hint="eastAsia" w:hAnsi="宋体"/>
          <w:sz w:val="32"/>
          <w:szCs w:val="36"/>
          <w:u w:val="single"/>
        </w:rPr>
        <w:t xml:space="preserve">    　      </w:t>
      </w:r>
      <w:r>
        <w:rPr>
          <w:rFonts w:hAnsi="宋体"/>
          <w:sz w:val="32"/>
          <w:szCs w:val="36"/>
          <w:u w:val="single"/>
        </w:rPr>
        <w:t>NSC2016-</w:t>
      </w:r>
      <w:r>
        <w:rPr>
          <w:rFonts w:hint="eastAsia" w:hAnsi="宋体"/>
          <w:sz w:val="32"/>
          <w:szCs w:val="36"/>
          <w:u w:val="single"/>
        </w:rPr>
        <w:t>0</w:t>
      </w:r>
      <w:r>
        <w:rPr>
          <w:rFonts w:hint="eastAsia" w:hAnsi="宋体"/>
          <w:sz w:val="32"/>
          <w:szCs w:val="36"/>
          <w:u w:val="single"/>
          <w:lang w:val="en-US" w:eastAsia="zh-CN"/>
        </w:rPr>
        <w:t>52</w:t>
      </w:r>
      <w:r>
        <w:rPr>
          <w:rFonts w:hint="eastAsia" w:hAnsi="宋体"/>
          <w:sz w:val="32"/>
          <w:szCs w:val="36"/>
          <w:u w:val="single"/>
        </w:rPr>
        <w:t xml:space="preserve">   　    　</w:t>
      </w:r>
    </w:p>
    <w:p>
      <w:pPr>
        <w:ind w:firstLine="640" w:firstLineChars="200"/>
        <w:rPr>
          <w:rFonts w:hAnsi="宋体"/>
          <w:sz w:val="32"/>
          <w:szCs w:val="36"/>
          <w:u w:val="single"/>
        </w:rPr>
      </w:pPr>
      <w:r>
        <w:rPr>
          <w:rFonts w:hint="eastAsia" w:hAnsi="宋体"/>
          <w:sz w:val="32"/>
          <w:szCs w:val="36"/>
        </w:rPr>
        <w:t>采 购 人：</w:t>
      </w:r>
      <w:r>
        <w:rPr>
          <w:rFonts w:hint="eastAsia" w:hAnsi="宋体"/>
          <w:sz w:val="32"/>
          <w:szCs w:val="36"/>
          <w:u w:val="single"/>
        </w:rPr>
        <w:t xml:space="preserve">    　    　南京审计大学    　     </w:t>
      </w:r>
    </w:p>
    <w:p>
      <w:pPr>
        <w:ind w:firstLine="640" w:firstLineChars="200"/>
        <w:rPr>
          <w:rFonts w:hAnsi="宋体"/>
          <w:sz w:val="32"/>
        </w:rPr>
      </w:pPr>
      <w:r>
        <w:rPr>
          <w:rFonts w:hint="eastAsia" w:hAnsi="宋体"/>
          <w:sz w:val="32"/>
          <w:szCs w:val="36"/>
        </w:rPr>
        <w:t>日    期：</w:t>
      </w:r>
      <w:r>
        <w:rPr>
          <w:rFonts w:hint="eastAsia" w:hAnsi="宋体"/>
          <w:sz w:val="32"/>
          <w:szCs w:val="36"/>
          <w:u w:val="single"/>
        </w:rPr>
        <w:t xml:space="preserve">    　    </w:t>
      </w:r>
      <w:r>
        <w:rPr>
          <w:rFonts w:hint="eastAsia" w:hAnsi="宋体"/>
          <w:sz w:val="32"/>
          <w:szCs w:val="32"/>
          <w:u w:val="single"/>
        </w:rPr>
        <w:t>二○一六年</w:t>
      </w:r>
      <w:r>
        <w:rPr>
          <w:rFonts w:hint="eastAsia" w:hAnsi="宋体"/>
          <w:sz w:val="32"/>
          <w:szCs w:val="32"/>
          <w:u w:val="single"/>
          <w:lang w:eastAsia="zh-CN"/>
        </w:rPr>
        <w:t>十二</w:t>
      </w:r>
      <w:r>
        <w:rPr>
          <w:rFonts w:hint="eastAsia" w:hAnsi="宋体"/>
          <w:sz w:val="32"/>
          <w:szCs w:val="32"/>
          <w:u w:val="single"/>
        </w:rPr>
        <w:t>月</w:t>
      </w:r>
      <w:r>
        <w:rPr>
          <w:rFonts w:hint="eastAsia" w:hAnsi="宋体"/>
          <w:sz w:val="32"/>
          <w:szCs w:val="36"/>
          <w:u w:val="single"/>
        </w:rPr>
        <w:t xml:space="preserve">   　     </w:t>
      </w:r>
    </w:p>
    <w:p>
      <w:pPr>
        <w:spacing w:line="360" w:lineRule="auto"/>
        <w:jc w:val="center"/>
        <w:rPr>
          <w:rFonts w:hAnsi="宋体"/>
          <w:b/>
          <w:sz w:val="72"/>
          <w:szCs w:val="72"/>
        </w:rPr>
      </w:pPr>
    </w:p>
    <w:p>
      <w:pPr>
        <w:widowControl/>
        <w:autoSpaceDE/>
        <w:autoSpaceDN/>
        <w:adjustRightInd/>
        <w:rPr>
          <w:rFonts w:hAnsi="宋体"/>
          <w:b/>
          <w:sz w:val="44"/>
          <w:szCs w:val="44"/>
        </w:rPr>
      </w:pPr>
      <w:r>
        <w:rPr>
          <w:rFonts w:hAnsi="宋体"/>
          <w:b/>
          <w:sz w:val="44"/>
          <w:szCs w:val="44"/>
        </w:rPr>
        <w:br w:type="page"/>
      </w:r>
    </w:p>
    <w:p>
      <w:pPr>
        <w:spacing w:line="360" w:lineRule="auto"/>
        <w:jc w:val="center"/>
        <w:rPr>
          <w:rFonts w:hAnsi="宋体"/>
          <w:b/>
          <w:sz w:val="44"/>
          <w:szCs w:val="44"/>
        </w:rPr>
      </w:pPr>
    </w:p>
    <w:p>
      <w:pPr>
        <w:spacing w:line="360" w:lineRule="auto"/>
        <w:jc w:val="center"/>
        <w:rPr>
          <w:rFonts w:hAnsi="宋体"/>
          <w:b/>
          <w:sz w:val="44"/>
          <w:szCs w:val="44"/>
        </w:rPr>
      </w:pPr>
      <w:r>
        <w:rPr>
          <w:rFonts w:hint="eastAsia" w:hAnsi="宋体"/>
          <w:b/>
          <w:sz w:val="44"/>
          <w:szCs w:val="44"/>
        </w:rPr>
        <w:t>目  录</w:t>
      </w:r>
    </w:p>
    <w:p>
      <w:pPr>
        <w:pStyle w:val="30"/>
        <w:tabs>
          <w:tab w:val="right" w:leader="dot" w:pos="8312"/>
        </w:tabs>
      </w:pPr>
      <w:r>
        <w:rPr>
          <w:rStyle w:val="43"/>
        </w:rPr>
        <w:fldChar w:fldCharType="begin"/>
      </w:r>
      <w:r>
        <w:rPr>
          <w:rStyle w:val="43"/>
        </w:rPr>
        <w:instrText xml:space="preserve"> TOC \o "1-3" \h \z \u </w:instrText>
      </w:r>
      <w:r>
        <w:rPr>
          <w:rStyle w:val="43"/>
        </w:rPr>
        <w:fldChar w:fldCharType="separate"/>
      </w:r>
      <w:r>
        <w:fldChar w:fldCharType="begin"/>
      </w:r>
      <w:r>
        <w:instrText xml:space="preserve"> HYPERLINK \l _Toc12500 </w:instrText>
      </w:r>
      <w:r>
        <w:fldChar w:fldCharType="separate"/>
      </w:r>
      <w:r>
        <w:rPr>
          <w:rFonts w:hint="eastAsia" w:hAnsi="宋体"/>
        </w:rPr>
        <w:t>第一章  谈判供应商须知</w:t>
      </w:r>
      <w:r>
        <w:tab/>
      </w:r>
      <w:r>
        <w:fldChar w:fldCharType="begin"/>
      </w:r>
      <w:r>
        <w:instrText xml:space="preserve"> PAGEREF _Toc12500 </w:instrText>
      </w:r>
      <w:r>
        <w:fldChar w:fldCharType="separate"/>
      </w:r>
      <w:r>
        <w:t>4</w:t>
      </w:r>
      <w:r>
        <w:fldChar w:fldCharType="end"/>
      </w:r>
      <w:r>
        <w:fldChar w:fldCharType="end"/>
      </w:r>
    </w:p>
    <w:p>
      <w:pPr>
        <w:pStyle w:val="36"/>
        <w:tabs>
          <w:tab w:val="right" w:leader="dot" w:pos="8312"/>
          <w:tab w:val="clear" w:pos="8540"/>
        </w:tabs>
      </w:pPr>
      <w:r>
        <w:fldChar w:fldCharType="begin"/>
      </w:r>
      <w:r>
        <w:instrText xml:space="preserve"> HYPERLINK \l _Toc13474 </w:instrText>
      </w:r>
      <w:r>
        <w:fldChar w:fldCharType="separate"/>
      </w:r>
      <w:r>
        <w:rPr>
          <w:rFonts w:hint="eastAsia" w:ascii="宋体" w:hAnsi="宋体" w:eastAsia="宋体"/>
        </w:rPr>
        <w:t>前附表</w:t>
      </w:r>
      <w:r>
        <w:tab/>
      </w:r>
      <w:r>
        <w:fldChar w:fldCharType="begin"/>
      </w:r>
      <w:r>
        <w:instrText xml:space="preserve"> PAGEREF _Toc13474 </w:instrText>
      </w:r>
      <w:r>
        <w:fldChar w:fldCharType="separate"/>
      </w:r>
      <w:r>
        <w:t>4</w:t>
      </w:r>
      <w:r>
        <w:fldChar w:fldCharType="end"/>
      </w:r>
      <w:r>
        <w:fldChar w:fldCharType="end"/>
      </w:r>
    </w:p>
    <w:p>
      <w:pPr>
        <w:pStyle w:val="36"/>
        <w:tabs>
          <w:tab w:val="right" w:leader="dot" w:pos="8312"/>
          <w:tab w:val="clear" w:pos="8540"/>
        </w:tabs>
      </w:pPr>
      <w:r>
        <w:fldChar w:fldCharType="begin"/>
      </w:r>
      <w:r>
        <w:instrText xml:space="preserve"> HYPERLINK \l _Toc5734 </w:instrText>
      </w:r>
      <w:r>
        <w:fldChar w:fldCharType="separate"/>
      </w:r>
      <w:r>
        <w:rPr>
          <w:rFonts w:hint="default" w:ascii="宋体" w:hAnsi="宋体" w:eastAsia="宋体"/>
        </w:rPr>
        <w:t xml:space="preserve">一、 </w:t>
      </w:r>
      <w:r>
        <w:rPr>
          <w:rFonts w:hint="eastAsia" w:ascii="宋体" w:hAnsi="宋体" w:eastAsia="宋体"/>
        </w:rPr>
        <w:t>总则</w:t>
      </w:r>
      <w:r>
        <w:tab/>
      </w:r>
      <w:r>
        <w:fldChar w:fldCharType="begin"/>
      </w:r>
      <w:r>
        <w:instrText xml:space="preserve"> PAGEREF _Toc5734 </w:instrText>
      </w:r>
      <w:r>
        <w:fldChar w:fldCharType="separate"/>
      </w:r>
      <w:r>
        <w:t>5</w:t>
      </w:r>
      <w:r>
        <w:fldChar w:fldCharType="end"/>
      </w:r>
      <w:r>
        <w:fldChar w:fldCharType="end"/>
      </w:r>
    </w:p>
    <w:p>
      <w:pPr>
        <w:pStyle w:val="36"/>
        <w:tabs>
          <w:tab w:val="right" w:leader="dot" w:pos="8312"/>
          <w:tab w:val="clear" w:pos="8540"/>
        </w:tabs>
      </w:pPr>
      <w:r>
        <w:fldChar w:fldCharType="begin"/>
      </w:r>
      <w:r>
        <w:instrText xml:space="preserve"> HYPERLINK \l _Toc26948 </w:instrText>
      </w:r>
      <w:r>
        <w:fldChar w:fldCharType="separate"/>
      </w:r>
      <w:r>
        <w:rPr>
          <w:rFonts w:hint="eastAsia" w:ascii="宋体" w:hAnsi="宋体" w:eastAsia="宋体"/>
        </w:rPr>
        <w:t>1．适用范围</w:t>
      </w:r>
      <w:r>
        <w:tab/>
      </w:r>
      <w:r>
        <w:fldChar w:fldCharType="begin"/>
      </w:r>
      <w:r>
        <w:instrText xml:space="preserve"> PAGEREF _Toc26948 </w:instrText>
      </w:r>
      <w:r>
        <w:fldChar w:fldCharType="separate"/>
      </w:r>
      <w:r>
        <w:t>5</w:t>
      </w:r>
      <w:r>
        <w:fldChar w:fldCharType="end"/>
      </w:r>
      <w:r>
        <w:fldChar w:fldCharType="end"/>
      </w:r>
    </w:p>
    <w:p>
      <w:pPr>
        <w:pStyle w:val="36"/>
        <w:tabs>
          <w:tab w:val="right" w:leader="dot" w:pos="8312"/>
          <w:tab w:val="clear" w:pos="8540"/>
        </w:tabs>
      </w:pPr>
      <w:r>
        <w:fldChar w:fldCharType="begin"/>
      </w:r>
      <w:r>
        <w:instrText xml:space="preserve"> HYPERLINK \l _Toc2329 </w:instrText>
      </w:r>
      <w:r>
        <w:fldChar w:fldCharType="separate"/>
      </w:r>
      <w:r>
        <w:rPr>
          <w:rFonts w:hint="eastAsia" w:ascii="宋体" w:hAnsi="宋体" w:eastAsia="宋体"/>
        </w:rPr>
        <w:t>2．合格的谈判供应商</w:t>
      </w:r>
      <w:r>
        <w:tab/>
      </w:r>
      <w:r>
        <w:fldChar w:fldCharType="begin"/>
      </w:r>
      <w:r>
        <w:instrText xml:space="preserve"> PAGEREF _Toc2329 </w:instrText>
      </w:r>
      <w:r>
        <w:fldChar w:fldCharType="separate"/>
      </w:r>
      <w:r>
        <w:t>5</w:t>
      </w:r>
      <w:r>
        <w:fldChar w:fldCharType="end"/>
      </w:r>
      <w:r>
        <w:fldChar w:fldCharType="end"/>
      </w:r>
    </w:p>
    <w:p>
      <w:pPr>
        <w:pStyle w:val="36"/>
        <w:tabs>
          <w:tab w:val="right" w:leader="dot" w:pos="8312"/>
          <w:tab w:val="clear" w:pos="8540"/>
        </w:tabs>
      </w:pPr>
      <w:r>
        <w:fldChar w:fldCharType="begin"/>
      </w:r>
      <w:r>
        <w:instrText xml:space="preserve"> HYPERLINK \l _Toc7551 </w:instrText>
      </w:r>
      <w:r>
        <w:fldChar w:fldCharType="separate"/>
      </w:r>
      <w:r>
        <w:rPr>
          <w:rFonts w:hint="eastAsia" w:ascii="宋体" w:hAnsi="宋体" w:eastAsia="宋体"/>
        </w:rPr>
        <w:t>3．竞争性谈判费用</w:t>
      </w:r>
      <w:r>
        <w:tab/>
      </w:r>
      <w:r>
        <w:fldChar w:fldCharType="begin"/>
      </w:r>
      <w:r>
        <w:instrText xml:space="preserve"> PAGEREF _Toc7551 </w:instrText>
      </w:r>
      <w:r>
        <w:fldChar w:fldCharType="separate"/>
      </w:r>
      <w:r>
        <w:t>5</w:t>
      </w:r>
      <w:r>
        <w:fldChar w:fldCharType="end"/>
      </w:r>
      <w:r>
        <w:fldChar w:fldCharType="end"/>
      </w:r>
    </w:p>
    <w:p>
      <w:pPr>
        <w:pStyle w:val="36"/>
        <w:tabs>
          <w:tab w:val="right" w:leader="dot" w:pos="8312"/>
          <w:tab w:val="clear" w:pos="8540"/>
        </w:tabs>
      </w:pPr>
      <w:r>
        <w:fldChar w:fldCharType="begin"/>
      </w:r>
      <w:r>
        <w:instrText xml:space="preserve"> HYPERLINK \l _Toc3335 </w:instrText>
      </w:r>
      <w:r>
        <w:fldChar w:fldCharType="separate"/>
      </w:r>
      <w:r>
        <w:rPr>
          <w:rFonts w:hint="eastAsia" w:ascii="宋体" w:hAnsi="宋体" w:eastAsia="宋体"/>
        </w:rPr>
        <w:t>4．法律适用</w:t>
      </w:r>
      <w:r>
        <w:tab/>
      </w:r>
      <w:r>
        <w:fldChar w:fldCharType="begin"/>
      </w:r>
      <w:r>
        <w:instrText xml:space="preserve"> PAGEREF _Toc3335 </w:instrText>
      </w:r>
      <w:r>
        <w:fldChar w:fldCharType="separate"/>
      </w:r>
      <w:r>
        <w:t>5</w:t>
      </w:r>
      <w:r>
        <w:fldChar w:fldCharType="end"/>
      </w:r>
      <w:r>
        <w:fldChar w:fldCharType="end"/>
      </w:r>
    </w:p>
    <w:p>
      <w:pPr>
        <w:pStyle w:val="36"/>
        <w:tabs>
          <w:tab w:val="right" w:leader="dot" w:pos="8312"/>
          <w:tab w:val="clear" w:pos="8540"/>
        </w:tabs>
      </w:pPr>
      <w:r>
        <w:fldChar w:fldCharType="begin"/>
      </w:r>
      <w:r>
        <w:instrText xml:space="preserve"> HYPERLINK \l _Toc24307 </w:instrText>
      </w:r>
      <w:r>
        <w:fldChar w:fldCharType="separate"/>
      </w:r>
      <w:r>
        <w:rPr>
          <w:rFonts w:hint="eastAsia" w:ascii="宋体" w:hAnsi="宋体" w:eastAsia="宋体"/>
        </w:rPr>
        <w:t>5．谈判采购文件的约束力</w:t>
      </w:r>
      <w:r>
        <w:tab/>
      </w:r>
      <w:r>
        <w:fldChar w:fldCharType="begin"/>
      </w:r>
      <w:r>
        <w:instrText xml:space="preserve"> PAGEREF _Toc24307 </w:instrText>
      </w:r>
      <w:r>
        <w:fldChar w:fldCharType="separate"/>
      </w:r>
      <w:r>
        <w:t>6</w:t>
      </w:r>
      <w:r>
        <w:fldChar w:fldCharType="end"/>
      </w:r>
      <w:r>
        <w:fldChar w:fldCharType="end"/>
      </w:r>
    </w:p>
    <w:p>
      <w:pPr>
        <w:pStyle w:val="36"/>
        <w:tabs>
          <w:tab w:val="right" w:leader="dot" w:pos="8312"/>
          <w:tab w:val="clear" w:pos="8540"/>
        </w:tabs>
      </w:pPr>
      <w:r>
        <w:fldChar w:fldCharType="begin"/>
      </w:r>
      <w:r>
        <w:instrText xml:space="preserve"> HYPERLINK \l _Toc21400 </w:instrText>
      </w:r>
      <w:r>
        <w:fldChar w:fldCharType="separate"/>
      </w:r>
      <w:r>
        <w:rPr>
          <w:rFonts w:hint="eastAsia" w:ascii="宋体" w:hAnsi="宋体" w:eastAsia="宋体"/>
        </w:rPr>
        <w:t>二、谈判采购文件</w:t>
      </w:r>
      <w:r>
        <w:tab/>
      </w:r>
      <w:r>
        <w:fldChar w:fldCharType="begin"/>
      </w:r>
      <w:r>
        <w:instrText xml:space="preserve"> PAGEREF _Toc21400 </w:instrText>
      </w:r>
      <w:r>
        <w:fldChar w:fldCharType="separate"/>
      </w:r>
      <w:r>
        <w:t>6</w:t>
      </w:r>
      <w:r>
        <w:fldChar w:fldCharType="end"/>
      </w:r>
      <w:r>
        <w:fldChar w:fldCharType="end"/>
      </w:r>
    </w:p>
    <w:p>
      <w:pPr>
        <w:pStyle w:val="36"/>
        <w:tabs>
          <w:tab w:val="right" w:leader="dot" w:pos="8312"/>
          <w:tab w:val="clear" w:pos="8540"/>
        </w:tabs>
      </w:pPr>
      <w:r>
        <w:fldChar w:fldCharType="begin"/>
      </w:r>
      <w:r>
        <w:instrText xml:space="preserve"> HYPERLINK \l _Toc4765 </w:instrText>
      </w:r>
      <w:r>
        <w:fldChar w:fldCharType="separate"/>
      </w:r>
      <w:r>
        <w:rPr>
          <w:rFonts w:hint="eastAsia" w:ascii="宋体" w:hAnsi="宋体" w:eastAsia="宋体"/>
        </w:rPr>
        <w:t>6．谈判采购文件的组成</w:t>
      </w:r>
      <w:r>
        <w:tab/>
      </w:r>
      <w:r>
        <w:fldChar w:fldCharType="begin"/>
      </w:r>
      <w:r>
        <w:instrText xml:space="preserve"> PAGEREF _Toc4765 </w:instrText>
      </w:r>
      <w:r>
        <w:fldChar w:fldCharType="separate"/>
      </w:r>
      <w:r>
        <w:t>6</w:t>
      </w:r>
      <w:r>
        <w:fldChar w:fldCharType="end"/>
      </w:r>
      <w:r>
        <w:fldChar w:fldCharType="end"/>
      </w:r>
    </w:p>
    <w:p>
      <w:pPr>
        <w:pStyle w:val="36"/>
        <w:tabs>
          <w:tab w:val="right" w:leader="dot" w:pos="8312"/>
          <w:tab w:val="clear" w:pos="8540"/>
        </w:tabs>
      </w:pPr>
      <w:r>
        <w:fldChar w:fldCharType="begin"/>
      </w:r>
      <w:r>
        <w:instrText xml:space="preserve"> HYPERLINK \l _Toc10786 </w:instrText>
      </w:r>
      <w:r>
        <w:fldChar w:fldCharType="separate"/>
      </w:r>
      <w:r>
        <w:rPr>
          <w:rFonts w:hint="eastAsia" w:ascii="宋体" w:hAnsi="宋体" w:eastAsia="宋体"/>
        </w:rPr>
        <w:t>7．谈判采购文件的澄清</w:t>
      </w:r>
      <w:r>
        <w:tab/>
      </w:r>
      <w:r>
        <w:fldChar w:fldCharType="begin"/>
      </w:r>
      <w:r>
        <w:instrText xml:space="preserve"> PAGEREF _Toc10786 </w:instrText>
      </w:r>
      <w:r>
        <w:fldChar w:fldCharType="separate"/>
      </w:r>
      <w:r>
        <w:t>6</w:t>
      </w:r>
      <w:r>
        <w:fldChar w:fldCharType="end"/>
      </w:r>
      <w:r>
        <w:fldChar w:fldCharType="end"/>
      </w:r>
    </w:p>
    <w:p>
      <w:pPr>
        <w:pStyle w:val="36"/>
        <w:tabs>
          <w:tab w:val="right" w:leader="dot" w:pos="8312"/>
          <w:tab w:val="clear" w:pos="8540"/>
        </w:tabs>
      </w:pPr>
      <w:r>
        <w:fldChar w:fldCharType="begin"/>
      </w:r>
      <w:r>
        <w:instrText xml:space="preserve"> HYPERLINK \l _Toc9096 </w:instrText>
      </w:r>
      <w:r>
        <w:fldChar w:fldCharType="separate"/>
      </w:r>
      <w:r>
        <w:rPr>
          <w:rFonts w:hint="eastAsia" w:ascii="宋体" w:hAnsi="宋体" w:eastAsia="宋体"/>
        </w:rPr>
        <w:t>8．谈判采购文件的更正或补充</w:t>
      </w:r>
      <w:r>
        <w:tab/>
      </w:r>
      <w:r>
        <w:fldChar w:fldCharType="begin"/>
      </w:r>
      <w:r>
        <w:instrText xml:space="preserve"> PAGEREF _Toc9096 </w:instrText>
      </w:r>
      <w:r>
        <w:fldChar w:fldCharType="separate"/>
      </w:r>
      <w:r>
        <w:t>6</w:t>
      </w:r>
      <w:r>
        <w:fldChar w:fldCharType="end"/>
      </w:r>
      <w:r>
        <w:fldChar w:fldCharType="end"/>
      </w:r>
    </w:p>
    <w:p>
      <w:pPr>
        <w:pStyle w:val="36"/>
        <w:tabs>
          <w:tab w:val="right" w:leader="dot" w:pos="8312"/>
          <w:tab w:val="clear" w:pos="8540"/>
        </w:tabs>
      </w:pPr>
      <w:r>
        <w:fldChar w:fldCharType="begin"/>
      </w:r>
      <w:r>
        <w:instrText xml:space="preserve"> HYPERLINK \l _Toc32360 </w:instrText>
      </w:r>
      <w:r>
        <w:fldChar w:fldCharType="separate"/>
      </w:r>
      <w:r>
        <w:rPr>
          <w:rFonts w:hint="eastAsia" w:ascii="宋体" w:hAnsi="宋体" w:eastAsia="宋体"/>
        </w:rPr>
        <w:t>三  谈判响应文件</w:t>
      </w:r>
      <w:r>
        <w:tab/>
      </w:r>
      <w:r>
        <w:fldChar w:fldCharType="begin"/>
      </w:r>
      <w:r>
        <w:instrText xml:space="preserve"> PAGEREF _Toc32360 </w:instrText>
      </w:r>
      <w:r>
        <w:fldChar w:fldCharType="separate"/>
      </w:r>
      <w:r>
        <w:t>7</w:t>
      </w:r>
      <w:r>
        <w:fldChar w:fldCharType="end"/>
      </w:r>
      <w:r>
        <w:fldChar w:fldCharType="end"/>
      </w:r>
    </w:p>
    <w:p>
      <w:pPr>
        <w:pStyle w:val="36"/>
        <w:tabs>
          <w:tab w:val="right" w:leader="dot" w:pos="8312"/>
          <w:tab w:val="clear" w:pos="8540"/>
        </w:tabs>
      </w:pPr>
      <w:r>
        <w:fldChar w:fldCharType="begin"/>
      </w:r>
      <w:r>
        <w:instrText xml:space="preserve"> HYPERLINK \l _Toc17348 </w:instrText>
      </w:r>
      <w:r>
        <w:fldChar w:fldCharType="separate"/>
      </w:r>
      <w:r>
        <w:rPr>
          <w:rFonts w:hint="eastAsia" w:ascii="宋体" w:hAnsi="宋体" w:eastAsia="宋体"/>
        </w:rPr>
        <w:t>9．谈判响应文件的语言及度量衡</w:t>
      </w:r>
      <w:r>
        <w:tab/>
      </w:r>
      <w:r>
        <w:fldChar w:fldCharType="begin"/>
      </w:r>
      <w:r>
        <w:instrText xml:space="preserve"> PAGEREF _Toc17348 </w:instrText>
      </w:r>
      <w:r>
        <w:fldChar w:fldCharType="separate"/>
      </w:r>
      <w:r>
        <w:t>7</w:t>
      </w:r>
      <w:r>
        <w:fldChar w:fldCharType="end"/>
      </w:r>
      <w:r>
        <w:fldChar w:fldCharType="end"/>
      </w:r>
    </w:p>
    <w:p>
      <w:pPr>
        <w:pStyle w:val="36"/>
        <w:tabs>
          <w:tab w:val="right" w:leader="dot" w:pos="8312"/>
          <w:tab w:val="clear" w:pos="8540"/>
        </w:tabs>
      </w:pPr>
      <w:r>
        <w:fldChar w:fldCharType="begin"/>
      </w:r>
      <w:r>
        <w:instrText xml:space="preserve"> HYPERLINK \l _Toc12329 </w:instrText>
      </w:r>
      <w:r>
        <w:fldChar w:fldCharType="separate"/>
      </w:r>
      <w:r>
        <w:rPr>
          <w:rFonts w:hint="eastAsia" w:ascii="宋体" w:hAnsi="宋体" w:eastAsia="宋体"/>
        </w:rPr>
        <w:t>10．谈判响应文件的组成</w:t>
      </w:r>
      <w:r>
        <w:tab/>
      </w:r>
      <w:r>
        <w:fldChar w:fldCharType="begin"/>
      </w:r>
      <w:r>
        <w:instrText xml:space="preserve"> PAGEREF _Toc12329 </w:instrText>
      </w:r>
      <w:r>
        <w:fldChar w:fldCharType="separate"/>
      </w:r>
      <w:r>
        <w:t>7</w:t>
      </w:r>
      <w:r>
        <w:fldChar w:fldCharType="end"/>
      </w:r>
      <w:r>
        <w:fldChar w:fldCharType="end"/>
      </w:r>
    </w:p>
    <w:p>
      <w:pPr>
        <w:pStyle w:val="36"/>
        <w:tabs>
          <w:tab w:val="right" w:leader="dot" w:pos="8312"/>
          <w:tab w:val="clear" w:pos="8540"/>
        </w:tabs>
      </w:pPr>
      <w:r>
        <w:fldChar w:fldCharType="begin"/>
      </w:r>
      <w:r>
        <w:instrText xml:space="preserve"> HYPERLINK \l _Toc14909 </w:instrText>
      </w:r>
      <w:r>
        <w:fldChar w:fldCharType="separate"/>
      </w:r>
      <w:r>
        <w:rPr>
          <w:rFonts w:hint="eastAsia" w:ascii="宋体" w:hAnsi="宋体" w:eastAsia="宋体"/>
        </w:rPr>
        <w:t>11．谈判报价</w:t>
      </w:r>
      <w:r>
        <w:tab/>
      </w:r>
      <w:r>
        <w:fldChar w:fldCharType="begin"/>
      </w:r>
      <w:r>
        <w:instrText xml:space="preserve"> PAGEREF _Toc14909 </w:instrText>
      </w:r>
      <w:r>
        <w:fldChar w:fldCharType="separate"/>
      </w:r>
      <w:r>
        <w:t>8</w:t>
      </w:r>
      <w:r>
        <w:fldChar w:fldCharType="end"/>
      </w:r>
      <w:r>
        <w:fldChar w:fldCharType="end"/>
      </w:r>
    </w:p>
    <w:p>
      <w:pPr>
        <w:pStyle w:val="36"/>
        <w:tabs>
          <w:tab w:val="right" w:leader="dot" w:pos="8312"/>
          <w:tab w:val="clear" w:pos="8540"/>
        </w:tabs>
      </w:pPr>
      <w:r>
        <w:fldChar w:fldCharType="begin"/>
      </w:r>
      <w:r>
        <w:instrText xml:space="preserve"> HYPERLINK \l _Toc24613 </w:instrText>
      </w:r>
      <w:r>
        <w:fldChar w:fldCharType="separate"/>
      </w:r>
      <w:r>
        <w:rPr>
          <w:rFonts w:hint="eastAsia" w:ascii="宋体" w:hAnsi="宋体" w:eastAsia="宋体"/>
        </w:rPr>
        <w:t>12 .谈判报价的货币</w:t>
      </w:r>
      <w:r>
        <w:tab/>
      </w:r>
      <w:r>
        <w:fldChar w:fldCharType="begin"/>
      </w:r>
      <w:r>
        <w:instrText xml:space="preserve"> PAGEREF _Toc24613 </w:instrText>
      </w:r>
      <w:r>
        <w:fldChar w:fldCharType="separate"/>
      </w:r>
      <w:r>
        <w:t>8</w:t>
      </w:r>
      <w:r>
        <w:fldChar w:fldCharType="end"/>
      </w:r>
      <w:r>
        <w:fldChar w:fldCharType="end"/>
      </w:r>
    </w:p>
    <w:p>
      <w:pPr>
        <w:pStyle w:val="36"/>
        <w:tabs>
          <w:tab w:val="right" w:leader="dot" w:pos="8312"/>
          <w:tab w:val="clear" w:pos="8540"/>
        </w:tabs>
      </w:pPr>
      <w:r>
        <w:fldChar w:fldCharType="begin"/>
      </w:r>
      <w:r>
        <w:instrText xml:space="preserve"> HYPERLINK \l _Toc19503 </w:instrText>
      </w:r>
      <w:r>
        <w:fldChar w:fldCharType="separate"/>
      </w:r>
      <w:r>
        <w:rPr>
          <w:rFonts w:hint="eastAsia" w:ascii="宋体" w:hAnsi="宋体" w:eastAsia="宋体"/>
        </w:rPr>
        <w:t>13 .竞争性谈判保证金</w:t>
      </w:r>
      <w:r>
        <w:tab/>
      </w:r>
      <w:r>
        <w:fldChar w:fldCharType="begin"/>
      </w:r>
      <w:r>
        <w:instrText xml:space="preserve"> PAGEREF _Toc19503 </w:instrText>
      </w:r>
      <w:r>
        <w:fldChar w:fldCharType="separate"/>
      </w:r>
      <w:r>
        <w:t>8</w:t>
      </w:r>
      <w:r>
        <w:fldChar w:fldCharType="end"/>
      </w:r>
      <w:r>
        <w:fldChar w:fldCharType="end"/>
      </w:r>
    </w:p>
    <w:p>
      <w:pPr>
        <w:pStyle w:val="36"/>
        <w:tabs>
          <w:tab w:val="right" w:leader="dot" w:pos="8312"/>
          <w:tab w:val="clear" w:pos="8540"/>
        </w:tabs>
      </w:pPr>
      <w:r>
        <w:fldChar w:fldCharType="begin"/>
      </w:r>
      <w:r>
        <w:instrText xml:space="preserve"> HYPERLINK \l _Toc12349 </w:instrText>
      </w:r>
      <w:r>
        <w:fldChar w:fldCharType="separate"/>
      </w:r>
      <w:r>
        <w:rPr>
          <w:rFonts w:hint="eastAsia" w:ascii="宋体" w:hAnsi="宋体" w:eastAsia="宋体"/>
        </w:rPr>
        <w:t>14．竞争性谈判有效期</w:t>
      </w:r>
      <w:r>
        <w:tab/>
      </w:r>
      <w:r>
        <w:fldChar w:fldCharType="begin"/>
      </w:r>
      <w:r>
        <w:instrText xml:space="preserve"> PAGEREF _Toc12349 </w:instrText>
      </w:r>
      <w:r>
        <w:fldChar w:fldCharType="separate"/>
      </w:r>
      <w:r>
        <w:t>9</w:t>
      </w:r>
      <w:r>
        <w:fldChar w:fldCharType="end"/>
      </w:r>
      <w:r>
        <w:fldChar w:fldCharType="end"/>
      </w:r>
    </w:p>
    <w:p>
      <w:pPr>
        <w:pStyle w:val="36"/>
        <w:tabs>
          <w:tab w:val="right" w:leader="dot" w:pos="8312"/>
          <w:tab w:val="clear" w:pos="8540"/>
        </w:tabs>
      </w:pPr>
      <w:r>
        <w:fldChar w:fldCharType="begin"/>
      </w:r>
      <w:r>
        <w:instrText xml:space="preserve"> HYPERLINK \l _Toc1858 </w:instrText>
      </w:r>
      <w:r>
        <w:fldChar w:fldCharType="separate"/>
      </w:r>
      <w:r>
        <w:rPr>
          <w:rFonts w:hint="eastAsia" w:ascii="宋体" w:hAnsi="宋体" w:eastAsia="宋体"/>
        </w:rPr>
        <w:t>15．谈判响应文件的签署及形式</w:t>
      </w:r>
      <w:r>
        <w:tab/>
      </w:r>
      <w:r>
        <w:fldChar w:fldCharType="begin"/>
      </w:r>
      <w:r>
        <w:instrText xml:space="preserve"> PAGEREF _Toc1858 </w:instrText>
      </w:r>
      <w:r>
        <w:fldChar w:fldCharType="separate"/>
      </w:r>
      <w:r>
        <w:t>9</w:t>
      </w:r>
      <w:r>
        <w:fldChar w:fldCharType="end"/>
      </w:r>
      <w:r>
        <w:fldChar w:fldCharType="end"/>
      </w:r>
    </w:p>
    <w:p>
      <w:pPr>
        <w:pStyle w:val="36"/>
        <w:tabs>
          <w:tab w:val="right" w:leader="dot" w:pos="8312"/>
          <w:tab w:val="clear" w:pos="8540"/>
        </w:tabs>
      </w:pPr>
      <w:r>
        <w:fldChar w:fldCharType="begin"/>
      </w:r>
      <w:r>
        <w:instrText xml:space="preserve"> HYPERLINK \l _Toc17814 </w:instrText>
      </w:r>
      <w:r>
        <w:fldChar w:fldCharType="separate"/>
      </w:r>
      <w:r>
        <w:rPr>
          <w:rFonts w:hint="eastAsia" w:ascii="宋体" w:hAnsi="宋体" w:eastAsia="宋体"/>
        </w:rPr>
        <w:t>四  谈判响应文件的递交</w:t>
      </w:r>
      <w:r>
        <w:tab/>
      </w:r>
      <w:r>
        <w:fldChar w:fldCharType="begin"/>
      </w:r>
      <w:r>
        <w:instrText xml:space="preserve"> PAGEREF _Toc17814 </w:instrText>
      </w:r>
      <w:r>
        <w:fldChar w:fldCharType="separate"/>
      </w:r>
      <w:r>
        <w:t>9</w:t>
      </w:r>
      <w:r>
        <w:fldChar w:fldCharType="end"/>
      </w:r>
      <w:r>
        <w:fldChar w:fldCharType="end"/>
      </w:r>
    </w:p>
    <w:p>
      <w:pPr>
        <w:pStyle w:val="36"/>
        <w:tabs>
          <w:tab w:val="right" w:leader="dot" w:pos="8312"/>
          <w:tab w:val="clear" w:pos="8540"/>
        </w:tabs>
      </w:pPr>
      <w:r>
        <w:fldChar w:fldCharType="begin"/>
      </w:r>
      <w:r>
        <w:instrText xml:space="preserve"> HYPERLINK \l _Toc6557 </w:instrText>
      </w:r>
      <w:r>
        <w:fldChar w:fldCharType="separate"/>
      </w:r>
      <w:r>
        <w:rPr>
          <w:rFonts w:hint="eastAsia" w:ascii="宋体" w:hAnsi="宋体" w:eastAsia="宋体"/>
        </w:rPr>
        <w:t>16．谈判响应文件的密封及标记</w:t>
      </w:r>
      <w:r>
        <w:tab/>
      </w:r>
      <w:r>
        <w:fldChar w:fldCharType="begin"/>
      </w:r>
      <w:r>
        <w:instrText xml:space="preserve"> PAGEREF _Toc6557 </w:instrText>
      </w:r>
      <w:r>
        <w:fldChar w:fldCharType="separate"/>
      </w:r>
      <w:r>
        <w:t>9</w:t>
      </w:r>
      <w:r>
        <w:fldChar w:fldCharType="end"/>
      </w:r>
      <w:r>
        <w:fldChar w:fldCharType="end"/>
      </w:r>
    </w:p>
    <w:p>
      <w:pPr>
        <w:pStyle w:val="36"/>
        <w:tabs>
          <w:tab w:val="right" w:leader="dot" w:pos="8312"/>
          <w:tab w:val="clear" w:pos="8540"/>
        </w:tabs>
      </w:pPr>
      <w:r>
        <w:fldChar w:fldCharType="begin"/>
      </w:r>
      <w:r>
        <w:instrText xml:space="preserve"> HYPERLINK \l _Toc9457 </w:instrText>
      </w:r>
      <w:r>
        <w:fldChar w:fldCharType="separate"/>
      </w:r>
      <w:r>
        <w:rPr>
          <w:rFonts w:hint="eastAsia" w:ascii="宋体" w:hAnsi="宋体" w:eastAsia="宋体"/>
        </w:rPr>
        <w:t>17．竞争性谈判响应文件递交截止时间</w:t>
      </w:r>
      <w:r>
        <w:tab/>
      </w:r>
      <w:r>
        <w:fldChar w:fldCharType="begin"/>
      </w:r>
      <w:r>
        <w:instrText xml:space="preserve"> PAGEREF _Toc9457 </w:instrText>
      </w:r>
      <w:r>
        <w:fldChar w:fldCharType="separate"/>
      </w:r>
      <w:r>
        <w:t>10</w:t>
      </w:r>
      <w:r>
        <w:fldChar w:fldCharType="end"/>
      </w:r>
      <w:r>
        <w:fldChar w:fldCharType="end"/>
      </w:r>
    </w:p>
    <w:p>
      <w:pPr>
        <w:pStyle w:val="36"/>
        <w:tabs>
          <w:tab w:val="right" w:leader="dot" w:pos="8312"/>
          <w:tab w:val="clear" w:pos="8540"/>
        </w:tabs>
      </w:pPr>
      <w:r>
        <w:fldChar w:fldCharType="begin"/>
      </w:r>
      <w:r>
        <w:instrText xml:space="preserve"> HYPERLINK \l _Toc3947 </w:instrText>
      </w:r>
      <w:r>
        <w:fldChar w:fldCharType="separate"/>
      </w:r>
      <w:r>
        <w:rPr>
          <w:rFonts w:hint="eastAsia" w:ascii="宋体" w:hAnsi="宋体" w:eastAsia="宋体"/>
        </w:rPr>
        <w:t>18．迟交的谈判响应文件</w:t>
      </w:r>
      <w:r>
        <w:tab/>
      </w:r>
      <w:r>
        <w:fldChar w:fldCharType="begin"/>
      </w:r>
      <w:r>
        <w:instrText xml:space="preserve"> PAGEREF _Toc3947 </w:instrText>
      </w:r>
      <w:r>
        <w:fldChar w:fldCharType="separate"/>
      </w:r>
      <w:r>
        <w:t>10</w:t>
      </w:r>
      <w:r>
        <w:fldChar w:fldCharType="end"/>
      </w:r>
      <w:r>
        <w:fldChar w:fldCharType="end"/>
      </w:r>
    </w:p>
    <w:p>
      <w:pPr>
        <w:pStyle w:val="36"/>
        <w:tabs>
          <w:tab w:val="right" w:leader="dot" w:pos="8312"/>
          <w:tab w:val="clear" w:pos="8540"/>
        </w:tabs>
      </w:pPr>
      <w:r>
        <w:fldChar w:fldCharType="begin"/>
      </w:r>
      <w:r>
        <w:instrText xml:space="preserve"> HYPERLINK \l _Toc653 </w:instrText>
      </w:r>
      <w:r>
        <w:fldChar w:fldCharType="separate"/>
      </w:r>
      <w:r>
        <w:rPr>
          <w:rFonts w:hint="eastAsia" w:ascii="宋体" w:hAnsi="宋体" w:eastAsia="宋体"/>
        </w:rPr>
        <w:t>19．谈判响应文件的修改和撤回</w:t>
      </w:r>
      <w:r>
        <w:tab/>
      </w:r>
      <w:r>
        <w:fldChar w:fldCharType="begin"/>
      </w:r>
      <w:r>
        <w:instrText xml:space="preserve"> PAGEREF _Toc653 </w:instrText>
      </w:r>
      <w:r>
        <w:fldChar w:fldCharType="separate"/>
      </w:r>
      <w:r>
        <w:t>10</w:t>
      </w:r>
      <w:r>
        <w:fldChar w:fldCharType="end"/>
      </w:r>
      <w:r>
        <w:fldChar w:fldCharType="end"/>
      </w:r>
    </w:p>
    <w:p>
      <w:pPr>
        <w:pStyle w:val="36"/>
        <w:tabs>
          <w:tab w:val="right" w:leader="dot" w:pos="8312"/>
          <w:tab w:val="clear" w:pos="8540"/>
        </w:tabs>
      </w:pPr>
      <w:r>
        <w:fldChar w:fldCharType="begin"/>
      </w:r>
      <w:r>
        <w:instrText xml:space="preserve"> HYPERLINK \l _Toc18853 </w:instrText>
      </w:r>
      <w:r>
        <w:fldChar w:fldCharType="separate"/>
      </w:r>
      <w:r>
        <w:rPr>
          <w:rFonts w:hint="eastAsia" w:ascii="宋体" w:hAnsi="宋体" w:eastAsia="宋体"/>
        </w:rPr>
        <w:t>五  竞争性谈判及报价</w:t>
      </w:r>
      <w:r>
        <w:tab/>
      </w:r>
      <w:r>
        <w:fldChar w:fldCharType="begin"/>
      </w:r>
      <w:r>
        <w:instrText xml:space="preserve"> PAGEREF _Toc18853 </w:instrText>
      </w:r>
      <w:r>
        <w:fldChar w:fldCharType="separate"/>
      </w:r>
      <w:r>
        <w:t>11</w:t>
      </w:r>
      <w:r>
        <w:fldChar w:fldCharType="end"/>
      </w:r>
      <w:r>
        <w:fldChar w:fldCharType="end"/>
      </w:r>
    </w:p>
    <w:p>
      <w:pPr>
        <w:pStyle w:val="36"/>
        <w:tabs>
          <w:tab w:val="right" w:leader="dot" w:pos="8312"/>
          <w:tab w:val="clear" w:pos="8540"/>
        </w:tabs>
      </w:pPr>
      <w:r>
        <w:fldChar w:fldCharType="begin"/>
      </w:r>
      <w:r>
        <w:instrText xml:space="preserve"> HYPERLINK \l _Toc10833 </w:instrText>
      </w:r>
      <w:r>
        <w:fldChar w:fldCharType="separate"/>
      </w:r>
      <w:r>
        <w:rPr>
          <w:rFonts w:hint="eastAsia" w:ascii="宋体" w:hAnsi="宋体" w:eastAsia="宋体"/>
        </w:rPr>
        <w:t>20．竞争性谈判报价</w:t>
      </w:r>
      <w:r>
        <w:tab/>
      </w:r>
      <w:r>
        <w:fldChar w:fldCharType="begin"/>
      </w:r>
      <w:r>
        <w:instrText xml:space="preserve"> PAGEREF _Toc10833 </w:instrText>
      </w:r>
      <w:r>
        <w:fldChar w:fldCharType="separate"/>
      </w:r>
      <w:r>
        <w:t>11</w:t>
      </w:r>
      <w:r>
        <w:fldChar w:fldCharType="end"/>
      </w:r>
      <w:r>
        <w:fldChar w:fldCharType="end"/>
      </w:r>
    </w:p>
    <w:p>
      <w:pPr>
        <w:pStyle w:val="36"/>
        <w:tabs>
          <w:tab w:val="right" w:leader="dot" w:pos="8312"/>
          <w:tab w:val="clear" w:pos="8540"/>
        </w:tabs>
      </w:pPr>
      <w:r>
        <w:fldChar w:fldCharType="begin"/>
      </w:r>
      <w:r>
        <w:instrText xml:space="preserve"> HYPERLINK \l _Toc24614 </w:instrText>
      </w:r>
      <w:r>
        <w:fldChar w:fldCharType="separate"/>
      </w:r>
      <w:r>
        <w:rPr>
          <w:rFonts w:hint="eastAsia" w:ascii="宋体" w:hAnsi="宋体" w:eastAsia="宋体"/>
        </w:rPr>
        <w:t>21．对谈判响应文件的资格性审查和符合性审查</w:t>
      </w:r>
      <w:r>
        <w:tab/>
      </w:r>
      <w:r>
        <w:fldChar w:fldCharType="begin"/>
      </w:r>
      <w:r>
        <w:instrText xml:space="preserve"> PAGEREF _Toc24614 </w:instrText>
      </w:r>
      <w:r>
        <w:fldChar w:fldCharType="separate"/>
      </w:r>
      <w:r>
        <w:t>11</w:t>
      </w:r>
      <w:r>
        <w:fldChar w:fldCharType="end"/>
      </w:r>
      <w:r>
        <w:fldChar w:fldCharType="end"/>
      </w:r>
    </w:p>
    <w:p>
      <w:pPr>
        <w:pStyle w:val="36"/>
        <w:tabs>
          <w:tab w:val="right" w:leader="dot" w:pos="8312"/>
          <w:tab w:val="clear" w:pos="8540"/>
        </w:tabs>
      </w:pPr>
      <w:r>
        <w:fldChar w:fldCharType="begin"/>
      </w:r>
      <w:r>
        <w:instrText xml:space="preserve"> HYPERLINK \l _Toc2575 </w:instrText>
      </w:r>
      <w:r>
        <w:fldChar w:fldCharType="separate"/>
      </w:r>
      <w:r>
        <w:rPr>
          <w:rFonts w:hint="eastAsia" w:ascii="宋体" w:hAnsi="宋体" w:eastAsia="宋体"/>
        </w:rPr>
        <w:t>22. 具体谈判工作流程</w:t>
      </w:r>
      <w:r>
        <w:tab/>
      </w:r>
      <w:r>
        <w:fldChar w:fldCharType="begin"/>
      </w:r>
      <w:r>
        <w:instrText xml:space="preserve"> PAGEREF _Toc2575 </w:instrText>
      </w:r>
      <w:r>
        <w:fldChar w:fldCharType="separate"/>
      </w:r>
      <w:r>
        <w:t>12</w:t>
      </w:r>
      <w:r>
        <w:fldChar w:fldCharType="end"/>
      </w:r>
      <w:r>
        <w:fldChar w:fldCharType="end"/>
      </w:r>
    </w:p>
    <w:p>
      <w:pPr>
        <w:pStyle w:val="36"/>
        <w:tabs>
          <w:tab w:val="right" w:leader="dot" w:pos="8312"/>
          <w:tab w:val="clear" w:pos="8540"/>
        </w:tabs>
      </w:pPr>
      <w:r>
        <w:fldChar w:fldCharType="begin"/>
      </w:r>
      <w:r>
        <w:instrText xml:space="preserve"> HYPERLINK \l _Toc29002 </w:instrText>
      </w:r>
      <w:r>
        <w:fldChar w:fldCharType="separate"/>
      </w:r>
      <w:r>
        <w:rPr>
          <w:rFonts w:hint="eastAsia" w:ascii="宋体" w:hAnsi="宋体" w:eastAsia="宋体"/>
        </w:rPr>
        <w:t>23．谈判响应文件的澄清</w:t>
      </w:r>
      <w:r>
        <w:tab/>
      </w:r>
      <w:r>
        <w:fldChar w:fldCharType="begin"/>
      </w:r>
      <w:r>
        <w:instrText xml:space="preserve"> PAGEREF _Toc29002 </w:instrText>
      </w:r>
      <w:r>
        <w:fldChar w:fldCharType="separate"/>
      </w:r>
      <w:r>
        <w:t>12</w:t>
      </w:r>
      <w:r>
        <w:fldChar w:fldCharType="end"/>
      </w:r>
      <w:r>
        <w:fldChar w:fldCharType="end"/>
      </w:r>
    </w:p>
    <w:p>
      <w:pPr>
        <w:pStyle w:val="36"/>
        <w:tabs>
          <w:tab w:val="right" w:leader="dot" w:pos="8312"/>
          <w:tab w:val="clear" w:pos="8540"/>
        </w:tabs>
      </w:pPr>
      <w:r>
        <w:fldChar w:fldCharType="begin"/>
      </w:r>
      <w:r>
        <w:instrText xml:space="preserve"> HYPERLINK \l _Toc30499 </w:instrText>
      </w:r>
      <w:r>
        <w:fldChar w:fldCharType="separate"/>
      </w:r>
      <w:r>
        <w:rPr>
          <w:rFonts w:hint="eastAsia" w:ascii="宋体" w:hAnsi="宋体" w:eastAsia="宋体"/>
        </w:rPr>
        <w:t>24．确定成交供应商</w:t>
      </w:r>
      <w:r>
        <w:tab/>
      </w:r>
      <w:r>
        <w:fldChar w:fldCharType="begin"/>
      </w:r>
      <w:r>
        <w:instrText xml:space="preserve"> PAGEREF _Toc30499 </w:instrText>
      </w:r>
      <w:r>
        <w:fldChar w:fldCharType="separate"/>
      </w:r>
      <w:r>
        <w:t>13</w:t>
      </w:r>
      <w:r>
        <w:fldChar w:fldCharType="end"/>
      </w:r>
      <w:r>
        <w:fldChar w:fldCharType="end"/>
      </w:r>
    </w:p>
    <w:p>
      <w:pPr>
        <w:pStyle w:val="36"/>
        <w:tabs>
          <w:tab w:val="right" w:leader="dot" w:pos="8312"/>
          <w:tab w:val="clear" w:pos="8540"/>
        </w:tabs>
      </w:pPr>
      <w:r>
        <w:fldChar w:fldCharType="begin"/>
      </w:r>
      <w:r>
        <w:instrText xml:space="preserve"> HYPERLINK \l _Toc13231 </w:instrText>
      </w:r>
      <w:r>
        <w:fldChar w:fldCharType="separate"/>
      </w:r>
      <w:r>
        <w:rPr>
          <w:rFonts w:hint="eastAsia" w:ascii="宋体" w:hAnsi="宋体" w:eastAsia="宋体"/>
        </w:rPr>
        <w:t>25．谈判过程保密</w:t>
      </w:r>
      <w:r>
        <w:tab/>
      </w:r>
      <w:r>
        <w:fldChar w:fldCharType="begin"/>
      </w:r>
      <w:r>
        <w:instrText xml:space="preserve"> PAGEREF _Toc13231 </w:instrText>
      </w:r>
      <w:r>
        <w:fldChar w:fldCharType="separate"/>
      </w:r>
      <w:r>
        <w:t>13</w:t>
      </w:r>
      <w:r>
        <w:fldChar w:fldCharType="end"/>
      </w:r>
      <w:r>
        <w:fldChar w:fldCharType="end"/>
      </w:r>
    </w:p>
    <w:p>
      <w:pPr>
        <w:pStyle w:val="36"/>
        <w:tabs>
          <w:tab w:val="right" w:leader="dot" w:pos="8312"/>
          <w:tab w:val="clear" w:pos="8540"/>
        </w:tabs>
      </w:pPr>
      <w:r>
        <w:fldChar w:fldCharType="begin"/>
      </w:r>
      <w:r>
        <w:instrText xml:space="preserve"> HYPERLINK \l _Toc20917 </w:instrText>
      </w:r>
      <w:r>
        <w:fldChar w:fldCharType="separate"/>
      </w:r>
      <w:r>
        <w:rPr>
          <w:rFonts w:hint="eastAsia" w:ascii="宋体" w:hAnsi="宋体" w:eastAsia="宋体"/>
        </w:rPr>
        <w:t>26．谈判供应商不足三家的处理</w:t>
      </w:r>
      <w:r>
        <w:tab/>
      </w:r>
      <w:r>
        <w:fldChar w:fldCharType="begin"/>
      </w:r>
      <w:r>
        <w:instrText xml:space="preserve"> PAGEREF _Toc20917 </w:instrText>
      </w:r>
      <w:r>
        <w:fldChar w:fldCharType="separate"/>
      </w:r>
      <w:r>
        <w:t>13</w:t>
      </w:r>
      <w:r>
        <w:fldChar w:fldCharType="end"/>
      </w:r>
      <w:r>
        <w:fldChar w:fldCharType="end"/>
      </w:r>
    </w:p>
    <w:p>
      <w:pPr>
        <w:pStyle w:val="36"/>
        <w:tabs>
          <w:tab w:val="right" w:leader="dot" w:pos="8312"/>
          <w:tab w:val="clear" w:pos="8540"/>
        </w:tabs>
      </w:pPr>
      <w:r>
        <w:fldChar w:fldCharType="begin"/>
      </w:r>
      <w:r>
        <w:instrText xml:space="preserve"> HYPERLINK \l _Toc719 </w:instrText>
      </w:r>
      <w:r>
        <w:fldChar w:fldCharType="separate"/>
      </w:r>
      <w:r>
        <w:rPr>
          <w:rFonts w:hint="eastAsia" w:ascii="宋体" w:hAnsi="宋体" w:eastAsia="宋体"/>
        </w:rPr>
        <w:t>六  确定成交供应商及签约</w:t>
      </w:r>
      <w:r>
        <w:tab/>
      </w:r>
      <w:r>
        <w:fldChar w:fldCharType="begin"/>
      </w:r>
      <w:r>
        <w:instrText xml:space="preserve"> PAGEREF _Toc719 </w:instrText>
      </w:r>
      <w:r>
        <w:fldChar w:fldCharType="separate"/>
      </w:r>
      <w:r>
        <w:t>14</w:t>
      </w:r>
      <w:r>
        <w:fldChar w:fldCharType="end"/>
      </w:r>
      <w:r>
        <w:fldChar w:fldCharType="end"/>
      </w:r>
    </w:p>
    <w:p>
      <w:pPr>
        <w:pStyle w:val="36"/>
        <w:tabs>
          <w:tab w:val="right" w:leader="dot" w:pos="8312"/>
          <w:tab w:val="clear" w:pos="8540"/>
        </w:tabs>
      </w:pPr>
      <w:r>
        <w:fldChar w:fldCharType="begin"/>
      </w:r>
      <w:r>
        <w:instrText xml:space="preserve"> HYPERLINK \l _Toc31596 </w:instrText>
      </w:r>
      <w:r>
        <w:fldChar w:fldCharType="separate"/>
      </w:r>
      <w:r>
        <w:rPr>
          <w:rFonts w:hint="eastAsia" w:ascii="宋体" w:hAnsi="宋体" w:eastAsia="宋体"/>
        </w:rPr>
        <w:t>27．确定成交供应商的原则</w:t>
      </w:r>
      <w:r>
        <w:tab/>
      </w:r>
      <w:r>
        <w:fldChar w:fldCharType="begin"/>
      </w:r>
      <w:r>
        <w:instrText xml:space="preserve"> PAGEREF _Toc31596 </w:instrText>
      </w:r>
      <w:r>
        <w:fldChar w:fldCharType="separate"/>
      </w:r>
      <w:r>
        <w:t>14</w:t>
      </w:r>
      <w:r>
        <w:fldChar w:fldCharType="end"/>
      </w:r>
      <w:r>
        <w:fldChar w:fldCharType="end"/>
      </w:r>
    </w:p>
    <w:p>
      <w:pPr>
        <w:pStyle w:val="36"/>
        <w:tabs>
          <w:tab w:val="right" w:leader="dot" w:pos="8312"/>
          <w:tab w:val="clear" w:pos="8540"/>
        </w:tabs>
      </w:pPr>
      <w:r>
        <w:fldChar w:fldCharType="begin"/>
      </w:r>
      <w:r>
        <w:instrText xml:space="preserve"> HYPERLINK \l _Toc9607 </w:instrText>
      </w:r>
      <w:r>
        <w:fldChar w:fldCharType="separate"/>
      </w:r>
      <w:r>
        <w:rPr>
          <w:rFonts w:hint="eastAsia" w:ascii="宋体" w:hAnsi="宋体" w:eastAsia="宋体"/>
        </w:rPr>
        <w:t>28. 质疑处理</w:t>
      </w:r>
      <w:r>
        <w:tab/>
      </w:r>
      <w:r>
        <w:fldChar w:fldCharType="begin"/>
      </w:r>
      <w:r>
        <w:instrText xml:space="preserve"> PAGEREF _Toc9607 </w:instrText>
      </w:r>
      <w:r>
        <w:fldChar w:fldCharType="separate"/>
      </w:r>
      <w:r>
        <w:t>14</w:t>
      </w:r>
      <w:r>
        <w:fldChar w:fldCharType="end"/>
      </w:r>
      <w:r>
        <w:fldChar w:fldCharType="end"/>
      </w:r>
    </w:p>
    <w:p>
      <w:pPr>
        <w:pStyle w:val="36"/>
        <w:tabs>
          <w:tab w:val="right" w:leader="dot" w:pos="8312"/>
          <w:tab w:val="clear" w:pos="8540"/>
        </w:tabs>
      </w:pPr>
      <w:r>
        <w:fldChar w:fldCharType="begin"/>
      </w:r>
      <w:r>
        <w:instrText xml:space="preserve"> HYPERLINK \l _Toc1106 </w:instrText>
      </w:r>
      <w:r>
        <w:fldChar w:fldCharType="separate"/>
      </w:r>
      <w:r>
        <w:rPr>
          <w:rFonts w:hint="eastAsia" w:ascii="宋体" w:hAnsi="宋体" w:eastAsia="宋体"/>
        </w:rPr>
        <w:t>29．签订合同</w:t>
      </w:r>
      <w:r>
        <w:tab/>
      </w:r>
      <w:r>
        <w:fldChar w:fldCharType="begin"/>
      </w:r>
      <w:r>
        <w:instrText xml:space="preserve"> PAGEREF _Toc1106 </w:instrText>
      </w:r>
      <w:r>
        <w:fldChar w:fldCharType="separate"/>
      </w:r>
      <w:r>
        <w:t>14</w:t>
      </w:r>
      <w:r>
        <w:fldChar w:fldCharType="end"/>
      </w:r>
      <w:r>
        <w:fldChar w:fldCharType="end"/>
      </w:r>
    </w:p>
    <w:p>
      <w:pPr>
        <w:pStyle w:val="30"/>
        <w:tabs>
          <w:tab w:val="right" w:leader="dot" w:pos="8312"/>
        </w:tabs>
      </w:pPr>
      <w:r>
        <w:fldChar w:fldCharType="begin"/>
      </w:r>
      <w:r>
        <w:instrText xml:space="preserve"> HYPERLINK \l _Toc17869 </w:instrText>
      </w:r>
      <w:r>
        <w:fldChar w:fldCharType="separate"/>
      </w:r>
      <w:r>
        <w:rPr>
          <w:rFonts w:hint="eastAsia" w:hAnsi="宋体"/>
        </w:rPr>
        <w:t>第二章  采购清单</w:t>
      </w:r>
      <w:r>
        <w:tab/>
      </w:r>
      <w:r>
        <w:fldChar w:fldCharType="begin"/>
      </w:r>
      <w:r>
        <w:instrText xml:space="preserve"> PAGEREF _Toc17869 </w:instrText>
      </w:r>
      <w:r>
        <w:fldChar w:fldCharType="separate"/>
      </w:r>
      <w:r>
        <w:t>15</w:t>
      </w:r>
      <w:r>
        <w:fldChar w:fldCharType="end"/>
      </w:r>
      <w:r>
        <w:fldChar w:fldCharType="end"/>
      </w:r>
    </w:p>
    <w:p>
      <w:pPr>
        <w:pStyle w:val="30"/>
        <w:tabs>
          <w:tab w:val="right" w:leader="dot" w:pos="8312"/>
        </w:tabs>
      </w:pPr>
      <w:r>
        <w:fldChar w:fldCharType="begin"/>
      </w:r>
      <w:r>
        <w:instrText xml:space="preserve"> HYPERLINK \l _Toc18486 </w:instrText>
      </w:r>
      <w:r>
        <w:fldChar w:fldCharType="separate"/>
      </w:r>
      <w:r>
        <w:rPr>
          <w:rFonts w:hint="eastAsia" w:hAnsi="宋体"/>
        </w:rPr>
        <w:t>第三章 合同条款</w:t>
      </w:r>
      <w:r>
        <w:tab/>
      </w:r>
      <w:r>
        <w:fldChar w:fldCharType="begin"/>
      </w:r>
      <w:r>
        <w:instrText xml:space="preserve"> PAGEREF _Toc18486 </w:instrText>
      </w:r>
      <w:r>
        <w:fldChar w:fldCharType="separate"/>
      </w:r>
      <w:r>
        <w:t>18</w:t>
      </w:r>
      <w:r>
        <w:fldChar w:fldCharType="end"/>
      </w:r>
      <w:r>
        <w:fldChar w:fldCharType="end"/>
      </w:r>
    </w:p>
    <w:p>
      <w:pPr>
        <w:pStyle w:val="30"/>
        <w:tabs>
          <w:tab w:val="right" w:leader="dot" w:pos="8312"/>
        </w:tabs>
      </w:pPr>
      <w:r>
        <w:fldChar w:fldCharType="begin"/>
      </w:r>
      <w:r>
        <w:instrText xml:space="preserve"> HYPERLINK \l _Toc2850 </w:instrText>
      </w:r>
      <w:r>
        <w:fldChar w:fldCharType="separate"/>
      </w:r>
      <w:r>
        <w:rPr>
          <w:rFonts w:hint="eastAsia" w:hAnsi="宋体"/>
        </w:rPr>
        <w:t>第四章  谈判响应文件格式</w:t>
      </w:r>
      <w:r>
        <w:tab/>
      </w:r>
      <w:r>
        <w:fldChar w:fldCharType="begin"/>
      </w:r>
      <w:r>
        <w:instrText xml:space="preserve"> PAGEREF _Toc2850 </w:instrText>
      </w:r>
      <w:r>
        <w:fldChar w:fldCharType="separate"/>
      </w:r>
      <w:r>
        <w:t>23</w:t>
      </w:r>
      <w:r>
        <w:fldChar w:fldCharType="end"/>
      </w:r>
      <w:r>
        <w:fldChar w:fldCharType="end"/>
      </w:r>
    </w:p>
    <w:p>
      <w:pPr>
        <w:pStyle w:val="36"/>
        <w:tabs>
          <w:tab w:val="right" w:leader="dot" w:pos="8312"/>
          <w:tab w:val="clear" w:pos="8540"/>
        </w:tabs>
      </w:pPr>
      <w:r>
        <w:fldChar w:fldCharType="begin"/>
      </w:r>
      <w:r>
        <w:instrText xml:space="preserve"> HYPERLINK \l _Toc18390 </w:instrText>
      </w:r>
      <w:r>
        <w:fldChar w:fldCharType="separate"/>
      </w:r>
      <w:r>
        <w:rPr>
          <w:rFonts w:hint="eastAsia" w:ascii="宋体" w:hAnsi="宋体" w:eastAsia="宋体"/>
        </w:rPr>
        <w:t>一、谈判函、谈判报价及项目相关文件</w:t>
      </w:r>
      <w:r>
        <w:tab/>
      </w:r>
      <w:r>
        <w:fldChar w:fldCharType="begin"/>
      </w:r>
      <w:r>
        <w:instrText xml:space="preserve"> PAGEREF _Toc18390 </w:instrText>
      </w:r>
      <w:r>
        <w:fldChar w:fldCharType="separate"/>
      </w:r>
      <w:r>
        <w:t>24</w:t>
      </w:r>
      <w:r>
        <w:fldChar w:fldCharType="end"/>
      </w:r>
      <w:r>
        <w:fldChar w:fldCharType="end"/>
      </w:r>
    </w:p>
    <w:p>
      <w:pPr>
        <w:pStyle w:val="23"/>
        <w:tabs>
          <w:tab w:val="right" w:leader="dot" w:pos="8312"/>
          <w:tab w:val="clear" w:pos="8540"/>
        </w:tabs>
      </w:pPr>
      <w:r>
        <w:fldChar w:fldCharType="begin"/>
      </w:r>
      <w:r>
        <w:instrText xml:space="preserve"> HYPERLINK \l _Toc5506 </w:instrText>
      </w:r>
      <w:r>
        <w:fldChar w:fldCharType="separate"/>
      </w:r>
      <w:r>
        <w:rPr>
          <w:rFonts w:hint="eastAsia" w:hAnsi="宋体"/>
          <w:kern w:val="2"/>
          <w:szCs w:val="30"/>
        </w:rPr>
        <w:t>1.竞争性谈判函</w:t>
      </w:r>
      <w:r>
        <w:tab/>
      </w:r>
      <w:r>
        <w:fldChar w:fldCharType="begin"/>
      </w:r>
      <w:r>
        <w:instrText xml:space="preserve"> PAGEREF _Toc5506 </w:instrText>
      </w:r>
      <w:r>
        <w:fldChar w:fldCharType="separate"/>
      </w:r>
      <w:r>
        <w:t>24</w:t>
      </w:r>
      <w:r>
        <w:fldChar w:fldCharType="end"/>
      </w:r>
      <w:r>
        <w:fldChar w:fldCharType="end"/>
      </w:r>
    </w:p>
    <w:p>
      <w:pPr>
        <w:pStyle w:val="23"/>
        <w:tabs>
          <w:tab w:val="right" w:leader="dot" w:pos="8312"/>
          <w:tab w:val="clear" w:pos="8540"/>
        </w:tabs>
      </w:pPr>
      <w:r>
        <w:fldChar w:fldCharType="begin"/>
      </w:r>
      <w:r>
        <w:instrText xml:space="preserve"> HYPERLINK \l _Toc9361 </w:instrText>
      </w:r>
      <w:r>
        <w:fldChar w:fldCharType="separate"/>
      </w:r>
      <w:r>
        <w:rPr>
          <w:rFonts w:hint="eastAsia" w:hAnsi="宋体"/>
        </w:rPr>
        <w:t>2.报价一览表</w:t>
      </w:r>
      <w:r>
        <w:tab/>
      </w:r>
      <w:r>
        <w:fldChar w:fldCharType="begin"/>
      </w:r>
      <w:r>
        <w:instrText xml:space="preserve"> PAGEREF _Toc9361 </w:instrText>
      </w:r>
      <w:r>
        <w:fldChar w:fldCharType="separate"/>
      </w:r>
      <w:r>
        <w:t>24</w:t>
      </w:r>
      <w:r>
        <w:fldChar w:fldCharType="end"/>
      </w:r>
      <w:r>
        <w:fldChar w:fldCharType="end"/>
      </w:r>
    </w:p>
    <w:p>
      <w:pPr>
        <w:pStyle w:val="23"/>
        <w:tabs>
          <w:tab w:val="right" w:leader="dot" w:pos="8312"/>
          <w:tab w:val="clear" w:pos="8540"/>
        </w:tabs>
      </w:pPr>
      <w:r>
        <w:fldChar w:fldCharType="begin"/>
      </w:r>
      <w:r>
        <w:instrText xml:space="preserve"> HYPERLINK \l _Toc17631 </w:instrText>
      </w:r>
      <w:r>
        <w:fldChar w:fldCharType="separate"/>
      </w:r>
      <w:r>
        <w:rPr>
          <w:rFonts w:hint="eastAsia" w:hAnsi="宋体"/>
        </w:rPr>
        <w:t>3</w:t>
      </w:r>
      <w:r>
        <w:rPr>
          <w:rFonts w:hAnsi="宋体"/>
        </w:rPr>
        <w:t>.</w:t>
      </w:r>
      <w:r>
        <w:rPr>
          <w:rFonts w:hint="eastAsia" w:hAnsi="宋体"/>
        </w:rPr>
        <w:t>谈判</w:t>
      </w:r>
      <w:r>
        <w:rPr>
          <w:rFonts w:hAnsi="宋体"/>
        </w:rPr>
        <w:t>报价明细表</w:t>
      </w:r>
      <w:r>
        <w:tab/>
      </w:r>
      <w:r>
        <w:fldChar w:fldCharType="begin"/>
      </w:r>
      <w:r>
        <w:instrText xml:space="preserve"> PAGEREF _Toc17631 </w:instrText>
      </w:r>
      <w:r>
        <w:fldChar w:fldCharType="separate"/>
      </w:r>
      <w:r>
        <w:t>25</w:t>
      </w:r>
      <w:r>
        <w:fldChar w:fldCharType="end"/>
      </w:r>
      <w:r>
        <w:fldChar w:fldCharType="end"/>
      </w:r>
    </w:p>
    <w:p>
      <w:pPr>
        <w:pStyle w:val="23"/>
        <w:tabs>
          <w:tab w:val="right" w:leader="dot" w:pos="8312"/>
          <w:tab w:val="clear" w:pos="8540"/>
        </w:tabs>
      </w:pPr>
      <w:r>
        <w:fldChar w:fldCharType="begin"/>
      </w:r>
      <w:r>
        <w:instrText xml:space="preserve"> HYPERLINK \l _Toc6771 </w:instrText>
      </w:r>
      <w:r>
        <w:fldChar w:fldCharType="separate"/>
      </w:r>
      <w:r>
        <w:rPr>
          <w:rFonts w:hint="eastAsia" w:hAnsi="宋体"/>
        </w:rPr>
        <w:t>4.技术要求响应表</w:t>
      </w:r>
      <w:r>
        <w:tab/>
      </w:r>
      <w:r>
        <w:fldChar w:fldCharType="begin"/>
      </w:r>
      <w:r>
        <w:instrText xml:space="preserve"> PAGEREF _Toc6771 </w:instrText>
      </w:r>
      <w:r>
        <w:fldChar w:fldCharType="separate"/>
      </w:r>
      <w:r>
        <w:t>26</w:t>
      </w:r>
      <w:r>
        <w:fldChar w:fldCharType="end"/>
      </w:r>
      <w:r>
        <w:fldChar w:fldCharType="end"/>
      </w:r>
    </w:p>
    <w:p>
      <w:pPr>
        <w:pStyle w:val="23"/>
        <w:tabs>
          <w:tab w:val="right" w:leader="dot" w:pos="8312"/>
          <w:tab w:val="clear" w:pos="8540"/>
        </w:tabs>
      </w:pPr>
      <w:r>
        <w:fldChar w:fldCharType="begin"/>
      </w:r>
      <w:r>
        <w:instrText xml:space="preserve"> HYPERLINK \l _Toc22892 </w:instrText>
      </w:r>
      <w:r>
        <w:fldChar w:fldCharType="separate"/>
      </w:r>
      <w:r>
        <w:rPr>
          <w:rFonts w:hint="eastAsia" w:hAnsi="宋体"/>
        </w:rPr>
        <w:t>5</w:t>
      </w:r>
      <w:r>
        <w:rPr>
          <w:rFonts w:hAnsi="宋体"/>
        </w:rPr>
        <w:t>.</w:t>
      </w:r>
      <w:r>
        <w:rPr>
          <w:rFonts w:hint="eastAsia" w:hAnsi="宋体"/>
        </w:rPr>
        <w:t>服务质量及服务承诺书</w:t>
      </w:r>
      <w:r>
        <w:tab/>
      </w:r>
      <w:r>
        <w:fldChar w:fldCharType="begin"/>
      </w:r>
      <w:r>
        <w:instrText xml:space="preserve"> PAGEREF _Toc22892 </w:instrText>
      </w:r>
      <w:r>
        <w:fldChar w:fldCharType="separate"/>
      </w:r>
      <w:r>
        <w:t>26</w:t>
      </w:r>
      <w:r>
        <w:fldChar w:fldCharType="end"/>
      </w:r>
      <w:r>
        <w:fldChar w:fldCharType="end"/>
      </w:r>
    </w:p>
    <w:p>
      <w:pPr>
        <w:pStyle w:val="36"/>
        <w:tabs>
          <w:tab w:val="right" w:leader="dot" w:pos="8312"/>
          <w:tab w:val="clear" w:pos="8540"/>
        </w:tabs>
      </w:pPr>
      <w:r>
        <w:fldChar w:fldCharType="begin"/>
      </w:r>
      <w:r>
        <w:instrText xml:space="preserve"> HYPERLINK \l _Toc29656 </w:instrText>
      </w:r>
      <w:r>
        <w:fldChar w:fldCharType="separate"/>
      </w:r>
      <w:r>
        <w:rPr>
          <w:rFonts w:hint="eastAsia" w:ascii="宋体" w:hAnsi="宋体" w:eastAsia="宋体"/>
        </w:rPr>
        <w:t>二、资格证明文件</w:t>
      </w:r>
      <w:r>
        <w:tab/>
      </w:r>
      <w:r>
        <w:fldChar w:fldCharType="begin"/>
      </w:r>
      <w:r>
        <w:instrText xml:space="preserve"> PAGEREF _Toc29656 </w:instrText>
      </w:r>
      <w:r>
        <w:fldChar w:fldCharType="separate"/>
      </w:r>
      <w:r>
        <w:t>26</w:t>
      </w:r>
      <w:r>
        <w:fldChar w:fldCharType="end"/>
      </w:r>
      <w:r>
        <w:fldChar w:fldCharType="end"/>
      </w:r>
    </w:p>
    <w:p>
      <w:pPr>
        <w:pStyle w:val="23"/>
        <w:tabs>
          <w:tab w:val="right" w:leader="dot" w:pos="8312"/>
          <w:tab w:val="clear" w:pos="8540"/>
        </w:tabs>
      </w:pPr>
      <w:r>
        <w:fldChar w:fldCharType="begin"/>
      </w:r>
      <w:r>
        <w:instrText xml:space="preserve"> HYPERLINK \l _Toc6974 </w:instrText>
      </w:r>
      <w:r>
        <w:fldChar w:fldCharType="separate"/>
      </w:r>
      <w:r>
        <w:rPr>
          <w:rFonts w:hint="eastAsia" w:hAnsi="宋体"/>
        </w:rPr>
        <w:t>1.资质证书</w:t>
      </w:r>
      <w:r>
        <w:tab/>
      </w:r>
      <w:r>
        <w:fldChar w:fldCharType="begin"/>
      </w:r>
      <w:r>
        <w:instrText xml:space="preserve"> PAGEREF _Toc6974 </w:instrText>
      </w:r>
      <w:r>
        <w:fldChar w:fldCharType="separate"/>
      </w:r>
      <w:r>
        <w:t>27</w:t>
      </w:r>
      <w:r>
        <w:fldChar w:fldCharType="end"/>
      </w:r>
      <w:r>
        <w:fldChar w:fldCharType="end"/>
      </w:r>
    </w:p>
    <w:p>
      <w:pPr>
        <w:pStyle w:val="23"/>
        <w:tabs>
          <w:tab w:val="right" w:leader="dot" w:pos="8312"/>
          <w:tab w:val="clear" w:pos="8540"/>
        </w:tabs>
      </w:pPr>
      <w:r>
        <w:fldChar w:fldCharType="begin"/>
      </w:r>
      <w:r>
        <w:instrText xml:space="preserve"> HYPERLINK \l _Toc2814 </w:instrText>
      </w:r>
      <w:r>
        <w:fldChar w:fldCharType="separate"/>
      </w:r>
      <w:r>
        <w:rPr>
          <w:rFonts w:hint="eastAsia" w:hAnsi="宋体"/>
        </w:rPr>
        <w:t>2.法人授权委托书</w:t>
      </w:r>
      <w:r>
        <w:tab/>
      </w:r>
      <w:r>
        <w:fldChar w:fldCharType="begin"/>
      </w:r>
      <w:r>
        <w:instrText xml:space="preserve"> PAGEREF _Toc2814 </w:instrText>
      </w:r>
      <w:r>
        <w:fldChar w:fldCharType="separate"/>
      </w:r>
      <w:r>
        <w:t>27</w:t>
      </w:r>
      <w:r>
        <w:fldChar w:fldCharType="end"/>
      </w:r>
      <w:r>
        <w:fldChar w:fldCharType="end"/>
      </w:r>
    </w:p>
    <w:p>
      <w:pPr>
        <w:pStyle w:val="23"/>
        <w:tabs>
          <w:tab w:val="right" w:leader="dot" w:pos="8312"/>
          <w:tab w:val="clear" w:pos="8540"/>
        </w:tabs>
      </w:pPr>
      <w:r>
        <w:fldChar w:fldCharType="begin"/>
      </w:r>
      <w:r>
        <w:instrText xml:space="preserve"> HYPERLINK \l _Toc27670 </w:instrText>
      </w:r>
      <w:r>
        <w:fldChar w:fldCharType="separate"/>
      </w:r>
      <w:r>
        <w:rPr>
          <w:rFonts w:hint="eastAsia" w:hAnsi="宋体"/>
        </w:rPr>
        <w:t>3.其他</w:t>
      </w:r>
      <w:r>
        <w:tab/>
      </w:r>
      <w:r>
        <w:fldChar w:fldCharType="begin"/>
      </w:r>
      <w:r>
        <w:instrText xml:space="preserve"> PAGEREF _Toc27670 </w:instrText>
      </w:r>
      <w:r>
        <w:fldChar w:fldCharType="separate"/>
      </w:r>
      <w:r>
        <w:t>28</w:t>
      </w:r>
      <w:r>
        <w:fldChar w:fldCharType="end"/>
      </w:r>
      <w:r>
        <w:fldChar w:fldCharType="end"/>
      </w:r>
    </w:p>
    <w:p>
      <w:pPr>
        <w:pStyle w:val="36"/>
        <w:rPr>
          <w:rFonts w:hAnsi="宋体"/>
          <w:sz w:val="24"/>
          <w:szCs w:val="24"/>
        </w:rPr>
      </w:pPr>
      <w:r>
        <w:fldChar w:fldCharType="end"/>
      </w:r>
    </w:p>
    <w:p>
      <w:pPr>
        <w:widowControl/>
        <w:autoSpaceDE/>
        <w:autoSpaceDN/>
        <w:adjustRightInd/>
        <w:rPr>
          <w:rFonts w:hAnsi="宋体"/>
          <w:sz w:val="24"/>
          <w:szCs w:val="24"/>
        </w:rPr>
      </w:pPr>
      <w:r>
        <w:rPr>
          <w:rFonts w:hAnsi="宋体"/>
          <w:sz w:val="24"/>
          <w:szCs w:val="24"/>
        </w:rPr>
        <w:br w:type="page"/>
      </w:r>
    </w:p>
    <w:p>
      <w:pPr>
        <w:pStyle w:val="2"/>
        <w:spacing w:line="360" w:lineRule="auto"/>
        <w:jc w:val="center"/>
        <w:rPr>
          <w:rFonts w:hAnsi="宋体"/>
        </w:rPr>
      </w:pPr>
      <w:bookmarkStart w:id="0" w:name="_Toc12500"/>
      <w:bookmarkStart w:id="1" w:name="_Toc279409995"/>
      <w:r>
        <w:rPr>
          <w:rFonts w:hint="eastAsia" w:hAnsi="宋体"/>
        </w:rPr>
        <w:t>第一章  谈判供应商须知</w:t>
      </w:r>
      <w:bookmarkEnd w:id="0"/>
      <w:bookmarkEnd w:id="1"/>
    </w:p>
    <w:p>
      <w:pPr>
        <w:spacing w:line="360" w:lineRule="auto"/>
        <w:ind w:firstLine="490"/>
        <w:rPr>
          <w:rFonts w:hAnsi="宋体"/>
          <w:sz w:val="24"/>
          <w:szCs w:val="28"/>
        </w:rPr>
      </w:pPr>
      <w:r>
        <w:rPr>
          <w:rFonts w:hint="eastAsia" w:hAnsi="宋体"/>
          <w:sz w:val="24"/>
          <w:szCs w:val="28"/>
        </w:rPr>
        <w:t>我校拟对</w:t>
      </w:r>
      <w:r>
        <w:rPr>
          <w:rFonts w:hint="eastAsia" w:hAnsi="宋体"/>
          <w:sz w:val="24"/>
          <w:szCs w:val="28"/>
          <w:u w:val="single"/>
        </w:rPr>
        <w:t xml:space="preserve"> 电子</w:t>
      </w:r>
      <w:r>
        <w:rPr>
          <w:rFonts w:hint="eastAsia" w:hAnsi="宋体"/>
          <w:sz w:val="24"/>
          <w:szCs w:val="28"/>
          <w:u w:val="single"/>
          <w:lang w:eastAsia="zh-CN"/>
        </w:rPr>
        <w:t>图</w:t>
      </w:r>
      <w:r>
        <w:rPr>
          <w:rFonts w:hint="eastAsia" w:hAnsi="宋体"/>
          <w:sz w:val="24"/>
          <w:szCs w:val="28"/>
          <w:u w:val="single"/>
        </w:rPr>
        <w:t>书（远程包库）</w:t>
      </w:r>
      <w:r>
        <w:rPr>
          <w:rFonts w:hint="eastAsia" w:hAnsi="宋体"/>
          <w:sz w:val="24"/>
          <w:szCs w:val="28"/>
        </w:rPr>
        <w:t>项目采购，欢迎贵单位参加，并提请注意以下事项：</w:t>
      </w:r>
    </w:p>
    <w:p>
      <w:pPr>
        <w:pStyle w:val="3"/>
        <w:spacing w:line="360" w:lineRule="auto"/>
        <w:rPr>
          <w:rFonts w:ascii="宋体" w:hAnsi="宋体" w:eastAsia="宋体"/>
        </w:rPr>
      </w:pPr>
      <w:bookmarkStart w:id="2" w:name="_Toc13474"/>
      <w:r>
        <w:rPr>
          <w:rFonts w:hint="eastAsia" w:ascii="宋体" w:hAnsi="宋体" w:eastAsia="宋体"/>
        </w:rPr>
        <w:t>前附表</w:t>
      </w:r>
      <w:bookmarkEnd w:id="2"/>
    </w:p>
    <w:tbl>
      <w:tblPr>
        <w:tblStyle w:val="45"/>
        <w:tblW w:w="8847"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62"/>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661" w:type="dxa"/>
            <w:vAlign w:val="center"/>
          </w:tcPr>
          <w:p>
            <w:pPr>
              <w:spacing w:line="400" w:lineRule="exact"/>
              <w:jc w:val="both"/>
              <w:rPr>
                <w:rFonts w:hAnsi="宋体"/>
                <w:sz w:val="21"/>
                <w:szCs w:val="21"/>
              </w:rPr>
            </w:pPr>
            <w:r>
              <w:rPr>
                <w:rFonts w:hint="eastAsia" w:hAnsi="宋体"/>
                <w:sz w:val="21"/>
                <w:szCs w:val="21"/>
              </w:rPr>
              <w:t>序号</w:t>
            </w:r>
          </w:p>
        </w:tc>
        <w:tc>
          <w:tcPr>
            <w:tcW w:w="1562" w:type="dxa"/>
            <w:vAlign w:val="center"/>
          </w:tcPr>
          <w:p>
            <w:pPr>
              <w:spacing w:line="400" w:lineRule="exact"/>
              <w:jc w:val="both"/>
              <w:rPr>
                <w:rFonts w:hAnsi="宋体"/>
                <w:sz w:val="21"/>
                <w:szCs w:val="21"/>
              </w:rPr>
            </w:pPr>
            <w:r>
              <w:rPr>
                <w:rFonts w:hint="eastAsia" w:hAnsi="宋体"/>
                <w:sz w:val="21"/>
                <w:szCs w:val="21"/>
              </w:rPr>
              <w:t>项目</w:t>
            </w:r>
          </w:p>
        </w:tc>
        <w:tc>
          <w:tcPr>
            <w:tcW w:w="6624" w:type="dxa"/>
            <w:vAlign w:val="center"/>
          </w:tcPr>
          <w:p>
            <w:pPr>
              <w:spacing w:line="400" w:lineRule="exact"/>
              <w:jc w:val="both"/>
              <w:rPr>
                <w:rFonts w:hAnsi="宋体"/>
                <w:sz w:val="21"/>
                <w:szCs w:val="21"/>
              </w:rPr>
            </w:pPr>
            <w:r>
              <w:rPr>
                <w:rFonts w:hint="eastAsia" w:hAnsi="宋体"/>
                <w:sz w:val="21"/>
                <w:szCs w:val="21"/>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661" w:type="dxa"/>
            <w:vAlign w:val="center"/>
          </w:tcPr>
          <w:p>
            <w:pPr>
              <w:spacing w:line="400" w:lineRule="exact"/>
              <w:jc w:val="center"/>
              <w:rPr>
                <w:rFonts w:hAnsi="宋体"/>
                <w:sz w:val="21"/>
                <w:szCs w:val="21"/>
              </w:rPr>
            </w:pPr>
            <w:r>
              <w:rPr>
                <w:rFonts w:hint="eastAsia" w:hAnsi="宋体"/>
                <w:sz w:val="21"/>
                <w:szCs w:val="21"/>
              </w:rPr>
              <w:t>1</w:t>
            </w:r>
          </w:p>
        </w:tc>
        <w:tc>
          <w:tcPr>
            <w:tcW w:w="1562" w:type="dxa"/>
            <w:vAlign w:val="center"/>
          </w:tcPr>
          <w:p>
            <w:pPr>
              <w:spacing w:line="400" w:lineRule="exact"/>
              <w:jc w:val="both"/>
              <w:rPr>
                <w:rFonts w:hAnsi="宋体"/>
                <w:sz w:val="21"/>
                <w:szCs w:val="21"/>
              </w:rPr>
            </w:pPr>
            <w:r>
              <w:rPr>
                <w:rFonts w:hint="eastAsia" w:hAnsi="宋体"/>
                <w:sz w:val="21"/>
                <w:szCs w:val="21"/>
              </w:rPr>
              <w:t>项目名称</w:t>
            </w:r>
          </w:p>
        </w:tc>
        <w:tc>
          <w:tcPr>
            <w:tcW w:w="6624" w:type="dxa"/>
            <w:vAlign w:val="center"/>
          </w:tcPr>
          <w:p>
            <w:pPr>
              <w:spacing w:line="400" w:lineRule="exact"/>
              <w:jc w:val="both"/>
              <w:rPr>
                <w:rFonts w:hint="eastAsia" w:hAnsi="宋体" w:eastAsia="宋体"/>
                <w:sz w:val="21"/>
                <w:szCs w:val="21"/>
                <w:lang w:eastAsia="zh-CN"/>
              </w:rPr>
            </w:pPr>
            <w:r>
              <w:rPr>
                <w:rFonts w:hint="eastAsia" w:hAnsi="宋体" w:eastAsia="宋体"/>
                <w:sz w:val="21"/>
                <w:szCs w:val="21"/>
                <w:lang w:eastAsia="zh-CN"/>
              </w:rPr>
              <w:t>电子</w:t>
            </w:r>
            <w:r>
              <w:rPr>
                <w:rFonts w:hint="eastAsia" w:hAnsi="宋体"/>
                <w:sz w:val="21"/>
                <w:szCs w:val="21"/>
                <w:lang w:eastAsia="zh-CN"/>
              </w:rPr>
              <w:t>图</w:t>
            </w:r>
            <w:r>
              <w:rPr>
                <w:rFonts w:hint="eastAsia" w:hAnsi="宋体" w:eastAsia="宋体"/>
                <w:sz w:val="21"/>
                <w:szCs w:val="21"/>
                <w:lang w:eastAsia="zh-CN"/>
              </w:rPr>
              <w:t>书（远程包库）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61" w:type="dxa"/>
            <w:vAlign w:val="center"/>
          </w:tcPr>
          <w:p>
            <w:pPr>
              <w:spacing w:line="400" w:lineRule="exact"/>
              <w:jc w:val="center"/>
              <w:rPr>
                <w:rFonts w:hAnsi="宋体"/>
                <w:sz w:val="21"/>
                <w:szCs w:val="21"/>
              </w:rPr>
            </w:pPr>
            <w:r>
              <w:rPr>
                <w:rFonts w:hint="eastAsia" w:hAnsi="宋体"/>
                <w:sz w:val="21"/>
                <w:szCs w:val="21"/>
              </w:rPr>
              <w:t>2</w:t>
            </w:r>
          </w:p>
        </w:tc>
        <w:tc>
          <w:tcPr>
            <w:tcW w:w="1562" w:type="dxa"/>
            <w:vAlign w:val="center"/>
          </w:tcPr>
          <w:p>
            <w:pPr>
              <w:spacing w:line="400" w:lineRule="exact"/>
              <w:jc w:val="both"/>
              <w:rPr>
                <w:rFonts w:hAnsi="宋体"/>
                <w:sz w:val="21"/>
                <w:szCs w:val="21"/>
              </w:rPr>
            </w:pPr>
            <w:r>
              <w:rPr>
                <w:rFonts w:hint="eastAsia" w:hAnsi="宋体"/>
                <w:sz w:val="21"/>
                <w:szCs w:val="21"/>
              </w:rPr>
              <w:t>采购人式</w:t>
            </w:r>
          </w:p>
        </w:tc>
        <w:tc>
          <w:tcPr>
            <w:tcW w:w="6624" w:type="dxa"/>
            <w:vAlign w:val="center"/>
          </w:tcPr>
          <w:p>
            <w:pPr>
              <w:spacing w:line="400" w:lineRule="exact"/>
              <w:jc w:val="both"/>
              <w:rPr>
                <w:rFonts w:hAnsi="宋体"/>
                <w:sz w:val="21"/>
                <w:szCs w:val="21"/>
              </w:rPr>
            </w:pPr>
            <w:r>
              <w:rPr>
                <w:rFonts w:hint="eastAsia" w:hAnsi="宋体"/>
                <w:sz w:val="21"/>
                <w:szCs w:val="21"/>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661" w:type="dxa"/>
            <w:vAlign w:val="center"/>
          </w:tcPr>
          <w:p>
            <w:pPr>
              <w:spacing w:line="400" w:lineRule="exact"/>
              <w:jc w:val="center"/>
              <w:rPr>
                <w:rFonts w:hAnsi="宋体"/>
                <w:sz w:val="21"/>
                <w:szCs w:val="21"/>
              </w:rPr>
            </w:pPr>
            <w:r>
              <w:rPr>
                <w:rFonts w:hint="eastAsia" w:hAnsi="宋体"/>
                <w:sz w:val="21"/>
                <w:szCs w:val="21"/>
              </w:rPr>
              <w:t>3</w:t>
            </w:r>
          </w:p>
        </w:tc>
        <w:tc>
          <w:tcPr>
            <w:tcW w:w="1562" w:type="dxa"/>
            <w:vAlign w:val="center"/>
          </w:tcPr>
          <w:p>
            <w:pPr>
              <w:spacing w:line="400" w:lineRule="exact"/>
              <w:jc w:val="both"/>
              <w:rPr>
                <w:rFonts w:hAnsi="宋体"/>
                <w:sz w:val="21"/>
                <w:szCs w:val="21"/>
              </w:rPr>
            </w:pPr>
            <w:r>
              <w:rPr>
                <w:rFonts w:hint="eastAsia" w:hAnsi="宋体"/>
                <w:sz w:val="21"/>
                <w:szCs w:val="21"/>
              </w:rPr>
              <w:t>采购编号</w:t>
            </w:r>
          </w:p>
        </w:tc>
        <w:tc>
          <w:tcPr>
            <w:tcW w:w="6624" w:type="dxa"/>
            <w:vAlign w:val="center"/>
          </w:tcPr>
          <w:p>
            <w:pPr>
              <w:spacing w:line="400" w:lineRule="exact"/>
              <w:jc w:val="both"/>
              <w:rPr>
                <w:rFonts w:hAnsi="宋体"/>
                <w:sz w:val="21"/>
                <w:szCs w:val="21"/>
              </w:rPr>
            </w:pPr>
            <w:r>
              <w:rPr>
                <w:rFonts w:hAnsi="宋体"/>
                <w:sz w:val="21"/>
                <w:szCs w:val="21"/>
              </w:rPr>
              <w:t>NSC2016-0</w:t>
            </w:r>
            <w:r>
              <w:rPr>
                <w:rFonts w:hint="eastAsia" w:hAnsi="宋体"/>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61" w:type="dxa"/>
            <w:vAlign w:val="center"/>
          </w:tcPr>
          <w:p>
            <w:pPr>
              <w:spacing w:line="400" w:lineRule="exact"/>
              <w:ind w:right="102"/>
              <w:jc w:val="center"/>
              <w:rPr>
                <w:rFonts w:hAnsi="宋体"/>
                <w:sz w:val="21"/>
                <w:szCs w:val="21"/>
              </w:rPr>
            </w:pPr>
            <w:r>
              <w:rPr>
                <w:rFonts w:hint="eastAsia" w:hAnsi="宋体"/>
                <w:sz w:val="21"/>
                <w:szCs w:val="21"/>
              </w:rPr>
              <w:t>4</w:t>
            </w:r>
          </w:p>
        </w:tc>
        <w:tc>
          <w:tcPr>
            <w:tcW w:w="1562" w:type="dxa"/>
            <w:vAlign w:val="center"/>
          </w:tcPr>
          <w:p>
            <w:pPr>
              <w:spacing w:line="400" w:lineRule="exact"/>
              <w:ind w:right="102"/>
              <w:jc w:val="both"/>
              <w:rPr>
                <w:rFonts w:hAnsi="宋体"/>
                <w:sz w:val="21"/>
                <w:szCs w:val="21"/>
              </w:rPr>
            </w:pPr>
            <w:r>
              <w:rPr>
                <w:rFonts w:hint="eastAsia" w:hAnsi="宋体"/>
                <w:sz w:val="21"/>
                <w:szCs w:val="21"/>
              </w:rPr>
              <w:t>采购人</w:t>
            </w:r>
          </w:p>
        </w:tc>
        <w:tc>
          <w:tcPr>
            <w:tcW w:w="6624" w:type="dxa"/>
            <w:vAlign w:val="center"/>
          </w:tcPr>
          <w:p>
            <w:pPr>
              <w:spacing w:line="400" w:lineRule="exact"/>
              <w:jc w:val="both"/>
              <w:rPr>
                <w:rFonts w:hAnsi="宋体"/>
                <w:sz w:val="21"/>
                <w:szCs w:val="21"/>
              </w:rPr>
            </w:pPr>
            <w:r>
              <w:rPr>
                <w:rFonts w:hint="eastAsia" w:hAnsi="宋体"/>
                <w:sz w:val="21"/>
                <w:szCs w:val="21"/>
              </w:rPr>
              <w:t>南京审计大学</w:t>
            </w:r>
          </w:p>
          <w:p>
            <w:pPr>
              <w:spacing w:line="400" w:lineRule="exact"/>
              <w:jc w:val="both"/>
              <w:rPr>
                <w:rFonts w:hAnsi="宋体"/>
                <w:sz w:val="21"/>
                <w:szCs w:val="21"/>
              </w:rPr>
            </w:pPr>
            <w:r>
              <w:rPr>
                <w:rFonts w:hint="eastAsia" w:hAnsi="宋体"/>
                <w:sz w:val="21"/>
                <w:szCs w:val="21"/>
              </w:rPr>
              <w:t xml:space="preserve">项目负责人：赵老师 </w:t>
            </w:r>
            <w:r>
              <w:rPr>
                <w:rFonts w:hint="eastAsia" w:hAnsi="宋体"/>
                <w:sz w:val="21"/>
                <w:szCs w:val="21"/>
                <w:lang w:eastAsia="zh-CN"/>
              </w:rPr>
              <w:t>徐</w:t>
            </w:r>
            <w:r>
              <w:rPr>
                <w:rFonts w:hint="eastAsia" w:hAnsi="宋体"/>
                <w:sz w:val="21"/>
                <w:szCs w:val="21"/>
              </w:rPr>
              <w:t>老师</w:t>
            </w:r>
          </w:p>
          <w:p>
            <w:pPr>
              <w:spacing w:line="400" w:lineRule="exact"/>
              <w:jc w:val="both"/>
              <w:rPr>
                <w:rFonts w:hAnsi="宋体"/>
                <w:sz w:val="21"/>
                <w:szCs w:val="21"/>
              </w:rPr>
            </w:pPr>
            <w:r>
              <w:rPr>
                <w:rFonts w:hint="eastAsia" w:hAnsi="宋体"/>
                <w:sz w:val="21"/>
                <w:szCs w:val="21"/>
              </w:rPr>
              <w:t>电话：025-58318709</w:t>
            </w:r>
            <w:r>
              <w:rPr>
                <w:rFonts w:hAnsi="宋体"/>
                <w:sz w:val="21"/>
                <w:szCs w:val="21"/>
              </w:rPr>
              <w:t xml:space="preserve"> </w:t>
            </w:r>
            <w:r>
              <w:rPr>
                <w:rFonts w:hint="eastAsia" w:hAnsi="宋体"/>
                <w:sz w:val="21"/>
                <w:szCs w:val="21"/>
                <w:lang w:val="en-US" w:eastAsia="zh-CN"/>
              </w:rPr>
              <w:t>58318724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61" w:type="dxa"/>
            <w:vAlign w:val="center"/>
          </w:tcPr>
          <w:p>
            <w:pPr>
              <w:spacing w:line="400" w:lineRule="exact"/>
              <w:jc w:val="center"/>
              <w:rPr>
                <w:rFonts w:hAnsi="宋体"/>
                <w:sz w:val="21"/>
                <w:szCs w:val="21"/>
              </w:rPr>
            </w:pPr>
            <w:r>
              <w:rPr>
                <w:rFonts w:hint="eastAsia" w:hAnsi="宋体"/>
                <w:sz w:val="21"/>
                <w:szCs w:val="21"/>
              </w:rPr>
              <w:t>5</w:t>
            </w:r>
          </w:p>
        </w:tc>
        <w:tc>
          <w:tcPr>
            <w:tcW w:w="1562" w:type="dxa"/>
            <w:vAlign w:val="center"/>
          </w:tcPr>
          <w:p>
            <w:pPr>
              <w:spacing w:line="400" w:lineRule="exact"/>
              <w:jc w:val="both"/>
              <w:rPr>
                <w:rFonts w:hAnsi="宋体"/>
                <w:sz w:val="21"/>
                <w:szCs w:val="21"/>
              </w:rPr>
            </w:pPr>
            <w:r>
              <w:rPr>
                <w:rFonts w:hint="eastAsia" w:hAnsi="宋体"/>
                <w:sz w:val="21"/>
                <w:szCs w:val="21"/>
              </w:rPr>
              <w:t>谈判供应商</w:t>
            </w:r>
          </w:p>
        </w:tc>
        <w:tc>
          <w:tcPr>
            <w:tcW w:w="6624" w:type="dxa"/>
            <w:vAlign w:val="center"/>
          </w:tcPr>
          <w:p>
            <w:pPr>
              <w:spacing w:line="400" w:lineRule="exact"/>
              <w:jc w:val="both"/>
              <w:rPr>
                <w:rFonts w:hAnsi="宋体"/>
                <w:sz w:val="21"/>
                <w:szCs w:val="21"/>
              </w:rPr>
            </w:pPr>
            <w:r>
              <w:rPr>
                <w:rFonts w:hint="eastAsia" w:hAnsi="宋体"/>
                <w:sz w:val="21"/>
                <w:szCs w:val="21"/>
              </w:rPr>
              <w:t>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6</w:t>
            </w:r>
          </w:p>
        </w:tc>
        <w:tc>
          <w:tcPr>
            <w:tcW w:w="1562" w:type="dxa"/>
            <w:vAlign w:val="center"/>
          </w:tcPr>
          <w:p>
            <w:pPr>
              <w:spacing w:line="400" w:lineRule="exact"/>
              <w:jc w:val="both"/>
              <w:rPr>
                <w:rFonts w:hAnsi="宋体"/>
                <w:sz w:val="21"/>
                <w:szCs w:val="21"/>
              </w:rPr>
            </w:pPr>
            <w:r>
              <w:rPr>
                <w:rFonts w:hint="eastAsia" w:hAnsi="宋体"/>
                <w:sz w:val="21"/>
                <w:szCs w:val="21"/>
              </w:rPr>
              <w:t>现场勘察</w:t>
            </w:r>
          </w:p>
        </w:tc>
        <w:tc>
          <w:tcPr>
            <w:tcW w:w="6624" w:type="dxa"/>
            <w:vAlign w:val="center"/>
          </w:tcPr>
          <w:p>
            <w:pPr>
              <w:spacing w:line="400" w:lineRule="exact"/>
              <w:jc w:val="both"/>
              <w:rPr>
                <w:rFonts w:hAnsi="宋体"/>
                <w:sz w:val="21"/>
                <w:szCs w:val="21"/>
              </w:rPr>
            </w:pPr>
            <w:r>
              <w:rPr>
                <w:rFonts w:hint="eastAsia" w:hAnsi="宋体"/>
                <w:sz w:val="21"/>
                <w:szCs w:val="21"/>
              </w:rPr>
              <w:t>采购人不组织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7</w:t>
            </w:r>
          </w:p>
        </w:tc>
        <w:tc>
          <w:tcPr>
            <w:tcW w:w="1562" w:type="dxa"/>
            <w:vAlign w:val="center"/>
          </w:tcPr>
          <w:p>
            <w:pPr>
              <w:spacing w:line="400" w:lineRule="exact"/>
              <w:jc w:val="both"/>
              <w:rPr>
                <w:rFonts w:hAnsi="宋体"/>
                <w:sz w:val="21"/>
                <w:szCs w:val="21"/>
              </w:rPr>
            </w:pPr>
            <w:r>
              <w:rPr>
                <w:rFonts w:hint="eastAsia" w:hAnsi="宋体"/>
                <w:sz w:val="21"/>
                <w:szCs w:val="21"/>
              </w:rPr>
              <w:t>竞争性谈判</w:t>
            </w:r>
          </w:p>
          <w:p>
            <w:pPr>
              <w:spacing w:line="400" w:lineRule="exact"/>
              <w:jc w:val="both"/>
              <w:rPr>
                <w:rFonts w:hAnsi="宋体"/>
                <w:sz w:val="21"/>
                <w:szCs w:val="21"/>
              </w:rPr>
            </w:pPr>
            <w:r>
              <w:rPr>
                <w:rFonts w:hint="eastAsia" w:hAnsi="宋体"/>
                <w:sz w:val="21"/>
                <w:szCs w:val="21"/>
              </w:rPr>
              <w:t>保证金</w:t>
            </w:r>
          </w:p>
        </w:tc>
        <w:tc>
          <w:tcPr>
            <w:tcW w:w="6624" w:type="dxa"/>
            <w:vAlign w:val="center"/>
          </w:tcPr>
          <w:p>
            <w:pPr>
              <w:spacing w:line="400" w:lineRule="exact"/>
              <w:jc w:val="both"/>
              <w:rPr>
                <w:rFonts w:hAnsi="宋体"/>
                <w:sz w:val="21"/>
                <w:szCs w:val="21"/>
              </w:rPr>
            </w:pPr>
            <w:r>
              <w:rPr>
                <w:rFonts w:hint="eastAsia" w:hAnsi="宋体"/>
                <w:sz w:val="21"/>
                <w:szCs w:val="21"/>
              </w:rPr>
              <w:t>金额：人民币</w:t>
            </w:r>
            <w:r>
              <w:rPr>
                <w:rFonts w:hint="eastAsia" w:hAnsi="宋体"/>
                <w:sz w:val="21"/>
                <w:szCs w:val="21"/>
                <w:u w:val="single"/>
                <w:lang w:eastAsia="zh-CN"/>
              </w:rPr>
              <w:t>壹仟伍佰</w:t>
            </w:r>
            <w:r>
              <w:rPr>
                <w:rFonts w:hint="eastAsia" w:hAnsi="宋体"/>
                <w:b/>
                <w:sz w:val="21"/>
                <w:szCs w:val="21"/>
                <w:u w:val="single"/>
              </w:rPr>
              <w:t xml:space="preserve"> </w:t>
            </w:r>
            <w:r>
              <w:rPr>
                <w:rFonts w:hint="eastAsia" w:hAnsi="宋体"/>
                <w:sz w:val="21"/>
                <w:szCs w:val="21"/>
              </w:rPr>
              <w:t>元整（￥</w:t>
            </w:r>
            <w:r>
              <w:rPr>
                <w:rFonts w:hint="eastAsia" w:hAnsi="宋体"/>
                <w:sz w:val="21"/>
                <w:szCs w:val="21"/>
                <w:u w:val="single"/>
              </w:rPr>
              <w:t xml:space="preserve"> </w:t>
            </w:r>
            <w:r>
              <w:rPr>
                <w:rFonts w:hint="eastAsia" w:hAnsi="宋体"/>
                <w:sz w:val="21"/>
                <w:szCs w:val="21"/>
                <w:u w:val="single"/>
                <w:lang w:val="en-US" w:eastAsia="zh-CN"/>
              </w:rPr>
              <w:t>15</w:t>
            </w:r>
            <w:r>
              <w:rPr>
                <w:rFonts w:hint="eastAsia" w:hAnsi="宋体"/>
                <w:sz w:val="21"/>
                <w:szCs w:val="21"/>
                <w:u w:val="single"/>
              </w:rPr>
              <w:t xml:space="preserve">00.00 </w:t>
            </w:r>
            <w:r>
              <w:rPr>
                <w:rFonts w:hint="eastAsia"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8</w:t>
            </w:r>
          </w:p>
        </w:tc>
        <w:tc>
          <w:tcPr>
            <w:tcW w:w="1562" w:type="dxa"/>
            <w:vAlign w:val="center"/>
          </w:tcPr>
          <w:p>
            <w:pPr>
              <w:spacing w:line="400" w:lineRule="exact"/>
              <w:jc w:val="both"/>
              <w:rPr>
                <w:rFonts w:hAnsi="宋体"/>
                <w:sz w:val="21"/>
                <w:szCs w:val="21"/>
              </w:rPr>
            </w:pPr>
            <w:r>
              <w:rPr>
                <w:rFonts w:hint="eastAsia" w:hAnsi="宋体"/>
                <w:sz w:val="21"/>
                <w:szCs w:val="21"/>
              </w:rPr>
              <w:t>采购预算</w:t>
            </w:r>
          </w:p>
        </w:tc>
        <w:tc>
          <w:tcPr>
            <w:tcW w:w="6624" w:type="dxa"/>
            <w:vAlign w:val="center"/>
          </w:tcPr>
          <w:p>
            <w:pPr>
              <w:spacing w:line="400" w:lineRule="exact"/>
              <w:jc w:val="both"/>
              <w:rPr>
                <w:rFonts w:hAnsi="宋体"/>
                <w:sz w:val="21"/>
                <w:szCs w:val="21"/>
              </w:rPr>
            </w:pPr>
            <w:r>
              <w:rPr>
                <w:rFonts w:hint="eastAsia" w:hAnsi="宋体"/>
                <w:sz w:val="21"/>
                <w:szCs w:val="21"/>
              </w:rPr>
              <w:t>人民币</w:t>
            </w:r>
            <w:r>
              <w:rPr>
                <w:rFonts w:hint="eastAsia" w:hAnsi="宋体"/>
                <w:sz w:val="21"/>
                <w:szCs w:val="21"/>
                <w:lang w:eastAsia="zh-CN"/>
              </w:rPr>
              <w:t>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661" w:type="dxa"/>
            <w:vAlign w:val="center"/>
          </w:tcPr>
          <w:p>
            <w:pPr>
              <w:spacing w:line="400" w:lineRule="exact"/>
              <w:jc w:val="center"/>
              <w:rPr>
                <w:rFonts w:hAnsi="宋体"/>
                <w:sz w:val="21"/>
                <w:szCs w:val="21"/>
              </w:rPr>
            </w:pPr>
            <w:r>
              <w:rPr>
                <w:rFonts w:hint="eastAsia" w:hAnsi="宋体"/>
                <w:sz w:val="21"/>
                <w:szCs w:val="21"/>
              </w:rPr>
              <w:t>9</w:t>
            </w:r>
          </w:p>
        </w:tc>
        <w:tc>
          <w:tcPr>
            <w:tcW w:w="1562" w:type="dxa"/>
            <w:vAlign w:val="center"/>
          </w:tcPr>
          <w:p>
            <w:pPr>
              <w:spacing w:line="400" w:lineRule="exact"/>
              <w:jc w:val="both"/>
              <w:rPr>
                <w:rFonts w:hAnsi="宋体"/>
                <w:sz w:val="21"/>
                <w:szCs w:val="21"/>
              </w:rPr>
            </w:pPr>
            <w:r>
              <w:rPr>
                <w:rFonts w:hint="eastAsia" w:hAnsi="宋体"/>
                <w:sz w:val="21"/>
                <w:szCs w:val="21"/>
              </w:rPr>
              <w:t>递交方式</w:t>
            </w:r>
          </w:p>
        </w:tc>
        <w:tc>
          <w:tcPr>
            <w:tcW w:w="6624" w:type="dxa"/>
            <w:vAlign w:val="center"/>
          </w:tcPr>
          <w:p>
            <w:pPr>
              <w:spacing w:line="400" w:lineRule="exact"/>
              <w:jc w:val="both"/>
              <w:rPr>
                <w:rFonts w:hAnsi="宋体"/>
                <w:sz w:val="21"/>
                <w:szCs w:val="21"/>
              </w:rPr>
            </w:pPr>
            <w:r>
              <w:rPr>
                <w:rFonts w:hAnsi="宋体" w:cs="宋体"/>
                <w:sz w:val="21"/>
                <w:szCs w:val="21"/>
              </w:rPr>
              <w:t>递交竞争性谈判响应文件</w:t>
            </w:r>
            <w:r>
              <w:rPr>
                <w:rFonts w:hint="eastAsia" w:hAnsi="宋体" w:cs="宋体"/>
                <w:sz w:val="21"/>
                <w:szCs w:val="21"/>
              </w:rPr>
              <w:t>的同时</w:t>
            </w:r>
            <w:r>
              <w:rPr>
                <w:rFonts w:hAnsi="宋体" w:cs="宋体"/>
                <w:sz w:val="21"/>
                <w:szCs w:val="21"/>
              </w:rPr>
              <w:t>交纳有效</w:t>
            </w:r>
            <w:r>
              <w:rPr>
                <w:rFonts w:hAnsi="宋体" w:cs="宋体"/>
                <w:sz w:val="21"/>
                <w:szCs w:val="21"/>
                <w:u w:val="single"/>
              </w:rPr>
              <w:t> </w:t>
            </w:r>
            <w:r>
              <w:rPr>
                <w:rFonts w:hAnsi="宋体" w:cs="宋体"/>
                <w:b/>
                <w:sz w:val="21"/>
                <w:szCs w:val="21"/>
                <w:u w:val="single"/>
              </w:rPr>
              <w:t>转账支票或银行</w:t>
            </w:r>
            <w:r>
              <w:rPr>
                <w:rFonts w:hint="eastAsia" w:hAnsi="宋体" w:cs="宋体"/>
                <w:b/>
                <w:sz w:val="21"/>
                <w:szCs w:val="21"/>
                <w:u w:val="single"/>
              </w:rPr>
              <w:t>本</w:t>
            </w:r>
            <w:r>
              <w:rPr>
                <w:rFonts w:hAnsi="宋体" w:cs="宋体"/>
                <w:b/>
                <w:sz w:val="21"/>
                <w:szCs w:val="21"/>
                <w:u w:val="single"/>
              </w:rPr>
              <w:t>票</w:t>
            </w:r>
            <w:r>
              <w:rPr>
                <w:rFonts w:hint="eastAsia" w:hAnsi="宋体" w:cs="宋体"/>
                <w:b/>
                <w:sz w:val="21"/>
                <w:szCs w:val="21"/>
                <w:u w:val="single"/>
              </w:rPr>
              <w:t>、汇票</w:t>
            </w:r>
            <w:r>
              <w:rPr>
                <w:rFonts w:hAnsi="宋体" w:cs="宋体"/>
                <w:b/>
                <w:sz w:val="21"/>
                <w:szCs w:val="21"/>
                <w:u w:val="single"/>
              </w:rPr>
              <w:t>等</w:t>
            </w:r>
            <w:r>
              <w:rPr>
                <w:rFonts w:hAnsi="宋体" w:cs="宋体"/>
                <w:sz w:val="21"/>
                <w:szCs w:val="21"/>
              </w:rPr>
              <w:t>（收款人：南京审计</w:t>
            </w:r>
            <w:r>
              <w:rPr>
                <w:rFonts w:hint="eastAsia" w:hAnsi="宋体" w:cs="宋体"/>
                <w:sz w:val="21"/>
                <w:szCs w:val="21"/>
              </w:rPr>
              <w:t>大学</w:t>
            </w:r>
            <w:r>
              <w:rPr>
                <w:rFonts w:hAnsi="宋体" w:cs="宋体"/>
                <w:sz w:val="21"/>
                <w:szCs w:val="21"/>
              </w:rPr>
              <w:t>；开户行：南京市工行汉府支行；</w:t>
            </w:r>
            <w:r>
              <w:rPr>
                <w:rFonts w:hint="eastAsia" w:hAnsi="宋体" w:cs="宋体"/>
                <w:sz w:val="21"/>
                <w:szCs w:val="21"/>
              </w:rPr>
              <w:t>账</w:t>
            </w:r>
            <w:r>
              <w:rPr>
                <w:rFonts w:hAnsi="宋体" w:cs="宋体"/>
                <w:sz w:val="21"/>
                <w:szCs w:val="21"/>
              </w:rPr>
              <w:t>号</w:t>
            </w:r>
            <w:r>
              <w:rPr>
                <w:rFonts w:hint="eastAsia" w:hAnsi="宋体" w:cs="宋体"/>
                <w:sz w:val="21"/>
                <w:szCs w:val="21"/>
              </w:rPr>
              <w:t>：</w:t>
            </w:r>
            <w:r>
              <w:rPr>
                <w:rFonts w:hAnsi="宋体"/>
                <w:sz w:val="21"/>
                <w:szCs w:val="21"/>
              </w:rPr>
              <w:t>43010158 1910 0302 596</w:t>
            </w:r>
            <w:r>
              <w:rPr>
                <w:rFonts w:hAnsi="宋体" w:cs="宋体"/>
                <w:sz w:val="21"/>
                <w:szCs w:val="21"/>
              </w:rPr>
              <w:t>；</w:t>
            </w:r>
            <w:r>
              <w:rPr>
                <w:rFonts w:hint="eastAsia" w:hAnsi="宋体" w:cs="宋体"/>
                <w:b/>
                <w:sz w:val="21"/>
                <w:szCs w:val="21"/>
              </w:rPr>
              <w:t>注：</w:t>
            </w:r>
            <w:r>
              <w:rPr>
                <w:rFonts w:hAnsi="宋体" w:cs="宋体"/>
                <w:b/>
                <w:sz w:val="21"/>
                <w:szCs w:val="21"/>
              </w:rPr>
              <w:t>不接受现金形式的投标保证金</w:t>
            </w:r>
            <w:r>
              <w:rPr>
                <w:rFonts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61" w:type="dxa"/>
            <w:vAlign w:val="center"/>
          </w:tcPr>
          <w:p>
            <w:pPr>
              <w:spacing w:line="400" w:lineRule="exact"/>
              <w:jc w:val="center"/>
              <w:rPr>
                <w:rFonts w:hAnsi="宋体"/>
                <w:sz w:val="21"/>
                <w:szCs w:val="21"/>
              </w:rPr>
            </w:pPr>
            <w:r>
              <w:rPr>
                <w:rFonts w:hint="eastAsia" w:hAnsi="宋体"/>
                <w:sz w:val="21"/>
                <w:szCs w:val="21"/>
              </w:rPr>
              <w:t>10</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递交</w:t>
            </w:r>
          </w:p>
        </w:tc>
        <w:tc>
          <w:tcPr>
            <w:tcW w:w="6624" w:type="dxa"/>
            <w:vAlign w:val="center"/>
          </w:tcPr>
          <w:p>
            <w:pPr>
              <w:spacing w:line="400" w:lineRule="exact"/>
              <w:jc w:val="both"/>
              <w:rPr>
                <w:rFonts w:hAnsi="宋体"/>
                <w:sz w:val="21"/>
                <w:szCs w:val="21"/>
              </w:rPr>
            </w:pPr>
            <w:r>
              <w:rPr>
                <w:rFonts w:hint="eastAsia" w:hAnsi="宋体"/>
                <w:sz w:val="21"/>
                <w:szCs w:val="21"/>
              </w:rPr>
              <w:t>截止时间： 2016年</w:t>
            </w:r>
            <w:r>
              <w:rPr>
                <w:rFonts w:hint="eastAsia" w:hAnsi="宋体"/>
                <w:sz w:val="21"/>
                <w:szCs w:val="21"/>
                <w:u w:val="single"/>
              </w:rPr>
              <w:t xml:space="preserve"> </w:t>
            </w:r>
            <w:r>
              <w:rPr>
                <w:rFonts w:hint="eastAsia" w:hAnsi="宋体"/>
                <w:sz w:val="21"/>
                <w:szCs w:val="21"/>
                <w:u w:val="single"/>
                <w:lang w:val="en-US" w:eastAsia="zh-CN"/>
              </w:rPr>
              <w:t>12</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21</w:t>
            </w:r>
            <w:r>
              <w:rPr>
                <w:rFonts w:hint="eastAsia" w:hAnsi="宋体"/>
                <w:sz w:val="21"/>
                <w:szCs w:val="21"/>
                <w:u w:val="single"/>
              </w:rPr>
              <w:t xml:space="preserve"> </w:t>
            </w:r>
            <w:r>
              <w:rPr>
                <w:rFonts w:hint="eastAsia" w:hAnsi="宋体"/>
                <w:sz w:val="21"/>
                <w:szCs w:val="21"/>
              </w:rPr>
              <w:t>日</w:t>
            </w:r>
            <w:r>
              <w:rPr>
                <w:rFonts w:hint="eastAsia" w:hAnsi="宋体"/>
                <w:sz w:val="21"/>
                <w:szCs w:val="21"/>
                <w:lang w:eastAsia="zh-CN"/>
              </w:rPr>
              <w:t>上</w:t>
            </w:r>
            <w:r>
              <w:rPr>
                <w:rFonts w:hint="eastAsia" w:hAnsi="宋体"/>
                <w:sz w:val="21"/>
                <w:szCs w:val="21"/>
              </w:rPr>
              <w:t>午</w:t>
            </w:r>
            <w:r>
              <w:rPr>
                <w:rFonts w:hint="eastAsia" w:hAnsi="宋体"/>
                <w:sz w:val="21"/>
                <w:szCs w:val="21"/>
                <w:lang w:val="en-US" w:eastAsia="zh-CN"/>
              </w:rPr>
              <w:t>9</w:t>
            </w:r>
            <w:r>
              <w:rPr>
                <w:rFonts w:hint="eastAsia" w:hAnsi="宋体"/>
                <w:sz w:val="21"/>
                <w:szCs w:val="21"/>
              </w:rPr>
              <w:t>:</w:t>
            </w:r>
            <w:r>
              <w:rPr>
                <w:rFonts w:hint="eastAsia" w:hAnsi="宋体"/>
                <w:sz w:val="21"/>
                <w:szCs w:val="21"/>
                <w:lang w:val="en-US" w:eastAsia="zh-CN"/>
              </w:rPr>
              <w:t>0</w:t>
            </w:r>
            <w:r>
              <w:rPr>
                <w:rFonts w:hint="eastAsia" w:hAnsi="宋体"/>
                <w:sz w:val="21"/>
                <w:szCs w:val="21"/>
              </w:rPr>
              <w:t>0</w:t>
            </w:r>
          </w:p>
          <w:p>
            <w:pPr>
              <w:spacing w:line="400" w:lineRule="exact"/>
              <w:jc w:val="both"/>
              <w:rPr>
                <w:rFonts w:hAnsi="宋体"/>
                <w:sz w:val="21"/>
                <w:szCs w:val="21"/>
              </w:rPr>
            </w:pPr>
            <w:r>
              <w:rPr>
                <w:rFonts w:hint="eastAsia" w:hAnsi="宋体"/>
                <w:sz w:val="21"/>
                <w:szCs w:val="21"/>
              </w:rPr>
              <w:t>地点： 南京审计大学浦口校区沁园致明楼4</w:t>
            </w:r>
            <w:r>
              <w:rPr>
                <w:rFonts w:hint="eastAsia" w:hAnsi="宋体"/>
                <w:sz w:val="21"/>
                <w:szCs w:val="21"/>
                <w:lang w:val="en-US" w:eastAsia="zh-CN"/>
              </w:rPr>
              <w:t>1</w:t>
            </w:r>
            <w:r>
              <w:rPr>
                <w:rFonts w:hint="eastAsia" w:hAnsi="宋体"/>
                <w:sz w:val="21"/>
                <w:szCs w:val="21"/>
              </w:rPr>
              <w:t>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661" w:type="dxa"/>
            <w:vAlign w:val="center"/>
          </w:tcPr>
          <w:p>
            <w:pPr>
              <w:spacing w:line="400" w:lineRule="exact"/>
              <w:jc w:val="center"/>
              <w:rPr>
                <w:rFonts w:hAnsi="宋体"/>
                <w:sz w:val="21"/>
                <w:szCs w:val="21"/>
              </w:rPr>
            </w:pPr>
            <w:r>
              <w:rPr>
                <w:rFonts w:hint="eastAsia" w:hAnsi="宋体"/>
                <w:sz w:val="21"/>
                <w:szCs w:val="21"/>
              </w:rPr>
              <w:t>11</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数量</w:t>
            </w:r>
          </w:p>
        </w:tc>
        <w:tc>
          <w:tcPr>
            <w:tcW w:w="6624" w:type="dxa"/>
            <w:vAlign w:val="center"/>
          </w:tcPr>
          <w:p>
            <w:pPr>
              <w:spacing w:line="400" w:lineRule="exact"/>
              <w:jc w:val="both"/>
              <w:rPr>
                <w:rFonts w:hAnsi="宋体"/>
                <w:sz w:val="21"/>
                <w:szCs w:val="21"/>
              </w:rPr>
            </w:pPr>
            <w:r>
              <w:rPr>
                <w:rFonts w:hint="eastAsia" w:hAnsi="宋体"/>
                <w:sz w:val="21"/>
                <w:szCs w:val="21"/>
              </w:rPr>
              <w:t>正本份数：</w:t>
            </w:r>
            <w:r>
              <w:rPr>
                <w:rFonts w:hint="eastAsia" w:hAnsi="宋体"/>
                <w:sz w:val="21"/>
                <w:szCs w:val="21"/>
                <w:u w:val="single"/>
              </w:rPr>
              <w:t xml:space="preserve"> 壹 </w:t>
            </w:r>
            <w:r>
              <w:rPr>
                <w:rFonts w:hint="eastAsia" w:hAnsi="宋体"/>
                <w:sz w:val="21"/>
                <w:szCs w:val="21"/>
              </w:rPr>
              <w:t>份</w:t>
            </w:r>
          </w:p>
          <w:p>
            <w:pPr>
              <w:spacing w:line="400" w:lineRule="exact"/>
              <w:jc w:val="both"/>
              <w:rPr>
                <w:rFonts w:hAnsi="宋体"/>
                <w:sz w:val="21"/>
                <w:szCs w:val="21"/>
              </w:rPr>
            </w:pPr>
            <w:r>
              <w:rPr>
                <w:rFonts w:hint="eastAsia" w:hAnsi="宋体"/>
                <w:sz w:val="21"/>
                <w:szCs w:val="21"/>
              </w:rPr>
              <w:t>副本份数：</w:t>
            </w:r>
            <w:r>
              <w:rPr>
                <w:rFonts w:hint="eastAsia" w:hAnsi="宋体"/>
                <w:sz w:val="21"/>
                <w:szCs w:val="21"/>
                <w:u w:val="single"/>
              </w:rPr>
              <w:t xml:space="preserve"> 肆 </w:t>
            </w:r>
            <w:r>
              <w:rPr>
                <w:rFonts w:hint="eastAsia" w:hAnsi="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661" w:type="dxa"/>
            <w:vAlign w:val="center"/>
          </w:tcPr>
          <w:p>
            <w:pPr>
              <w:spacing w:line="400" w:lineRule="exact"/>
              <w:jc w:val="center"/>
              <w:rPr>
                <w:rFonts w:hAnsi="宋体"/>
                <w:sz w:val="21"/>
                <w:szCs w:val="21"/>
              </w:rPr>
            </w:pPr>
            <w:r>
              <w:rPr>
                <w:rFonts w:hint="eastAsia" w:hAnsi="宋体"/>
                <w:sz w:val="21"/>
                <w:szCs w:val="21"/>
              </w:rPr>
              <w:t>12</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有效期</w:t>
            </w:r>
          </w:p>
        </w:tc>
        <w:tc>
          <w:tcPr>
            <w:tcW w:w="6624" w:type="dxa"/>
            <w:vAlign w:val="center"/>
          </w:tcPr>
          <w:p>
            <w:pPr>
              <w:spacing w:line="400" w:lineRule="exact"/>
              <w:jc w:val="both"/>
              <w:rPr>
                <w:rFonts w:hAnsi="宋体"/>
                <w:sz w:val="21"/>
                <w:szCs w:val="21"/>
                <w:u w:val="single"/>
              </w:rPr>
            </w:pPr>
            <w:r>
              <w:rPr>
                <w:rFonts w:hint="eastAsia" w:hAnsi="宋体"/>
                <w:sz w:val="21"/>
                <w:szCs w:val="21"/>
              </w:rPr>
              <w:t>谈判响应文件递交截止时间后九十天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661" w:type="dxa"/>
            <w:vAlign w:val="center"/>
          </w:tcPr>
          <w:p>
            <w:pPr>
              <w:spacing w:line="400" w:lineRule="exact"/>
              <w:jc w:val="center"/>
              <w:rPr>
                <w:rFonts w:hint="eastAsia" w:hAnsi="宋体" w:eastAsia="宋体"/>
                <w:sz w:val="21"/>
                <w:szCs w:val="21"/>
                <w:lang w:val="en-US" w:eastAsia="zh-CN"/>
              </w:rPr>
            </w:pPr>
            <w:r>
              <w:rPr>
                <w:rFonts w:hint="eastAsia" w:hAnsi="宋体"/>
                <w:sz w:val="21"/>
                <w:szCs w:val="21"/>
                <w:lang w:val="en-US" w:eastAsia="zh-CN"/>
              </w:rPr>
              <w:t>13</w:t>
            </w:r>
          </w:p>
        </w:tc>
        <w:tc>
          <w:tcPr>
            <w:tcW w:w="1562" w:type="dxa"/>
            <w:vAlign w:val="center"/>
          </w:tcPr>
          <w:p>
            <w:pPr>
              <w:spacing w:line="400" w:lineRule="exact"/>
              <w:jc w:val="both"/>
              <w:rPr>
                <w:rFonts w:hint="eastAsia" w:hAnsi="宋体" w:eastAsia="宋体"/>
                <w:sz w:val="21"/>
                <w:szCs w:val="21"/>
                <w:lang w:eastAsia="zh-CN"/>
              </w:rPr>
            </w:pPr>
            <w:r>
              <w:rPr>
                <w:rFonts w:hint="eastAsia" w:hAnsi="宋体"/>
                <w:sz w:val="21"/>
                <w:szCs w:val="21"/>
                <w:lang w:eastAsia="zh-CN"/>
              </w:rPr>
              <w:t>其他要求</w:t>
            </w:r>
          </w:p>
        </w:tc>
        <w:tc>
          <w:tcPr>
            <w:tcW w:w="6624" w:type="dxa"/>
            <w:vAlign w:val="center"/>
          </w:tcPr>
          <w:p>
            <w:pPr>
              <w:spacing w:line="400" w:lineRule="exact"/>
              <w:jc w:val="both"/>
              <w:rPr>
                <w:rFonts w:hint="eastAsia" w:hAnsi="宋体"/>
                <w:sz w:val="21"/>
                <w:szCs w:val="21"/>
              </w:rPr>
            </w:pPr>
            <w:r>
              <w:rPr>
                <w:rFonts w:hint="eastAsia" w:hAnsi="宋体"/>
                <w:sz w:val="21"/>
                <w:szCs w:val="21"/>
              </w:rPr>
              <w:t>谈判供应商须对其所投的软件进行现场演示，每个软件的演示时长不超过5分钟</w:t>
            </w:r>
          </w:p>
        </w:tc>
      </w:tr>
    </w:tbl>
    <w:p>
      <w:pPr>
        <w:pStyle w:val="3"/>
        <w:numPr>
          <w:ilvl w:val="0"/>
          <w:numId w:val="1"/>
        </w:numPr>
        <w:spacing w:line="360" w:lineRule="auto"/>
        <w:jc w:val="center"/>
        <w:rPr>
          <w:rFonts w:ascii="宋体" w:hAnsi="宋体" w:eastAsia="宋体"/>
        </w:rPr>
      </w:pPr>
      <w:bookmarkStart w:id="3" w:name="_Toc5734"/>
      <w:bookmarkStart w:id="4" w:name="_Toc279409997"/>
      <w:r>
        <w:rPr>
          <w:rFonts w:hint="eastAsia" w:ascii="宋体" w:hAnsi="宋体" w:eastAsia="宋体"/>
        </w:rPr>
        <w:t>总则</w:t>
      </w:r>
      <w:bookmarkEnd w:id="3"/>
    </w:p>
    <w:p>
      <w:pPr>
        <w:pStyle w:val="3"/>
        <w:spacing w:line="360" w:lineRule="auto"/>
        <w:rPr>
          <w:rFonts w:ascii="宋体" w:hAnsi="宋体" w:eastAsia="宋体"/>
        </w:rPr>
      </w:pPr>
      <w:bookmarkStart w:id="5" w:name="_Toc26948"/>
      <w:r>
        <w:rPr>
          <w:rFonts w:hint="eastAsia" w:ascii="宋体" w:hAnsi="宋体" w:eastAsia="宋体"/>
        </w:rPr>
        <w:t>1．适用范围</w:t>
      </w:r>
      <w:bookmarkEnd w:id="5"/>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本谈判采购文件仅适用于南京审计大学（以下简称采购人）组织的竞争性谈判采购活动。</w:t>
      </w:r>
    </w:p>
    <w:p>
      <w:pPr>
        <w:pStyle w:val="3"/>
        <w:spacing w:line="360" w:lineRule="auto"/>
        <w:rPr>
          <w:rFonts w:ascii="宋体" w:hAnsi="宋体" w:eastAsia="宋体"/>
        </w:rPr>
      </w:pPr>
      <w:bookmarkStart w:id="6" w:name="_Toc2329"/>
      <w:r>
        <w:rPr>
          <w:rFonts w:hint="eastAsia" w:ascii="宋体" w:hAnsi="宋体" w:eastAsia="宋体"/>
        </w:rPr>
        <w:t>2．合格的谈判供应商</w:t>
      </w:r>
      <w:bookmarkEnd w:id="4"/>
      <w:bookmarkEnd w:id="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 凡有能力按照本谈判采购文件规定的要求交付货物、工程和服务的供应商均可成为合格的谈判供应商。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 谈判供应商参加本次竞争性谈判采购活动应符合《中华人民共和国政府采购法》第二十二条规定并具备下列条件：</w:t>
      </w:r>
    </w:p>
    <w:p>
      <w:pPr>
        <w:pStyle w:val="17"/>
        <w:numPr>
          <w:ilvl w:val="0"/>
          <w:numId w:val="0"/>
        </w:numPr>
        <w:spacing w:line="500" w:lineRule="exact"/>
        <w:ind w:leftChars="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2.2.1</w:t>
      </w:r>
      <w:r>
        <w:rPr>
          <w:rFonts w:hint="eastAsia" w:asciiTheme="minorEastAsia" w:hAnsiTheme="minorEastAsia" w:eastAsiaTheme="minorEastAsia"/>
          <w:sz w:val="24"/>
          <w:szCs w:val="24"/>
        </w:rPr>
        <w:t>具有独立法人资格和电子图书及相应出版物经销权。</w:t>
      </w:r>
    </w:p>
    <w:p>
      <w:pPr>
        <w:pStyle w:val="17"/>
        <w:numPr>
          <w:ilvl w:val="0"/>
          <w:numId w:val="0"/>
        </w:numPr>
        <w:spacing w:line="500" w:lineRule="exact"/>
        <w:ind w:leftChars="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2.2.2</w:t>
      </w:r>
      <w:r>
        <w:rPr>
          <w:rFonts w:hint="eastAsia" w:asciiTheme="minorEastAsia" w:hAnsiTheme="minorEastAsia" w:eastAsiaTheme="minorEastAsia"/>
          <w:sz w:val="24"/>
          <w:szCs w:val="24"/>
        </w:rPr>
        <w:t>提供的所有电子图书具有合法版权且没有版权争议。</w:t>
      </w:r>
    </w:p>
    <w:p>
      <w:pPr>
        <w:pStyle w:val="17"/>
        <w:numPr>
          <w:ilvl w:val="0"/>
          <w:numId w:val="0"/>
        </w:numPr>
        <w:spacing w:line="500" w:lineRule="exact"/>
        <w:ind w:leftChars="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2.2.3</w:t>
      </w:r>
      <w:r>
        <w:rPr>
          <w:rFonts w:hint="eastAsia" w:asciiTheme="minorEastAsia" w:hAnsiTheme="minorEastAsia" w:eastAsiaTheme="minorEastAsia"/>
          <w:sz w:val="24"/>
          <w:szCs w:val="24"/>
          <w:lang w:eastAsia="zh-CN"/>
        </w:rPr>
        <w:t>谈判供应商提供</w:t>
      </w:r>
      <w:r>
        <w:rPr>
          <w:rFonts w:hint="eastAsia" w:asciiTheme="minorEastAsia" w:hAnsiTheme="minorEastAsia" w:eastAsiaTheme="minorEastAsia"/>
          <w:sz w:val="24"/>
          <w:szCs w:val="24"/>
          <w:lang w:val="en-US" w:eastAsia="zh-CN"/>
        </w:rPr>
        <w:t>2014年1月1日以后与本项目类似的业绩案例不少于3个（提供合同复印件，原件备查）</w:t>
      </w:r>
    </w:p>
    <w:p>
      <w:pPr>
        <w:pStyle w:val="33"/>
        <w:spacing w:line="360" w:lineRule="auto"/>
        <w:ind w:left="0"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2.2.4</w:t>
      </w:r>
      <w:r>
        <w:rPr>
          <w:rFonts w:hint="eastAsia" w:asciiTheme="minorEastAsia" w:hAnsiTheme="minorEastAsia" w:eastAsiaTheme="minorEastAsia"/>
          <w:sz w:val="24"/>
          <w:szCs w:val="24"/>
        </w:rPr>
        <w:t>电子图书使用效果良好，能够进行现场演示</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2.3谈判供应商应遵守中华人民共和国《政府采购法》、《招标投标法》《合同法》和《反不正当竞争法》等有关法律、法规，如有违反，将视为不合格谈判供应商，其谈判响应文件无效。</w:t>
      </w:r>
    </w:p>
    <w:p>
      <w:pPr>
        <w:pStyle w:val="3"/>
        <w:spacing w:line="360" w:lineRule="auto"/>
        <w:rPr>
          <w:rFonts w:ascii="宋体" w:hAnsi="宋体" w:eastAsia="宋体"/>
        </w:rPr>
      </w:pPr>
      <w:bookmarkStart w:id="7" w:name="_Toc7551"/>
      <w:r>
        <w:rPr>
          <w:rFonts w:hint="eastAsia" w:ascii="宋体" w:hAnsi="宋体" w:eastAsia="宋体"/>
        </w:rPr>
        <w:t>3．竞争性谈判费用</w:t>
      </w:r>
      <w:bookmarkEnd w:id="7"/>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竞争性谈判供应商应承担所有与准备和参加竞争性谈判有关的费用。不论竞争性谈判的结果如何，采购人均无义务和责任承担这些费用。</w:t>
      </w:r>
    </w:p>
    <w:p>
      <w:pPr>
        <w:pStyle w:val="3"/>
        <w:spacing w:line="360" w:lineRule="auto"/>
        <w:rPr>
          <w:rFonts w:ascii="宋体" w:hAnsi="宋体" w:eastAsia="宋体"/>
        </w:rPr>
      </w:pPr>
      <w:bookmarkStart w:id="8" w:name="_Toc3335"/>
      <w:r>
        <w:rPr>
          <w:rFonts w:hint="eastAsia" w:ascii="宋体" w:hAnsi="宋体" w:eastAsia="宋体"/>
        </w:rPr>
        <w:t>4．法律适用</w:t>
      </w:r>
      <w:bookmarkEnd w:id="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本次竞争性谈判活动及由本次竞争性谈判产生的合同受中华人民共和国的法律制约和保护。</w:t>
      </w:r>
    </w:p>
    <w:p>
      <w:pPr>
        <w:pStyle w:val="3"/>
        <w:spacing w:line="360" w:lineRule="auto"/>
        <w:rPr>
          <w:rFonts w:ascii="宋体" w:hAnsi="宋体" w:eastAsia="宋体"/>
        </w:rPr>
      </w:pPr>
      <w:bookmarkStart w:id="9" w:name="_Toc321385701"/>
      <w:bookmarkStart w:id="10" w:name="_Toc24307"/>
      <w:r>
        <w:rPr>
          <w:rFonts w:hint="eastAsia" w:ascii="宋体" w:hAnsi="宋体" w:eastAsia="宋体"/>
        </w:rPr>
        <w:t>5．谈判采购文件的约束力</w:t>
      </w:r>
      <w:bookmarkEnd w:id="9"/>
      <w:bookmarkEnd w:id="1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5．1谈判供应商一旦参加竞争性谈判，即被认为接受了本谈判采购文件中的所有条款和规定。</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5.2 本谈判采购文件由采购人负责解释。</w:t>
      </w:r>
    </w:p>
    <w:p>
      <w:pPr>
        <w:pStyle w:val="3"/>
        <w:spacing w:line="360" w:lineRule="auto"/>
        <w:jc w:val="center"/>
        <w:rPr>
          <w:rFonts w:ascii="宋体" w:hAnsi="宋体" w:eastAsia="宋体"/>
        </w:rPr>
      </w:pPr>
      <w:bookmarkStart w:id="11" w:name="_Toc321385702"/>
      <w:bookmarkStart w:id="12" w:name="_Toc21400"/>
      <w:r>
        <w:rPr>
          <w:rFonts w:hint="eastAsia" w:ascii="宋体" w:hAnsi="宋体" w:eastAsia="宋体"/>
        </w:rPr>
        <w:t>二、谈判采购文件</w:t>
      </w:r>
      <w:bookmarkEnd w:id="11"/>
      <w:bookmarkEnd w:id="12"/>
    </w:p>
    <w:p>
      <w:pPr>
        <w:pStyle w:val="3"/>
        <w:spacing w:line="360" w:lineRule="auto"/>
        <w:rPr>
          <w:rFonts w:ascii="宋体" w:hAnsi="宋体" w:eastAsia="宋体"/>
        </w:rPr>
      </w:pPr>
      <w:bookmarkStart w:id="13" w:name="_Toc4765"/>
      <w:bookmarkStart w:id="14" w:name="_Toc321385703"/>
      <w:r>
        <w:rPr>
          <w:rFonts w:hint="eastAsia" w:ascii="宋体" w:hAnsi="宋体" w:eastAsia="宋体"/>
        </w:rPr>
        <w:t>6．谈判采购文件的组成</w:t>
      </w:r>
      <w:bookmarkEnd w:id="13"/>
      <w:bookmarkEnd w:id="1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6.l 谈判采购文件由四部分组成，包括：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第一章  谈判供应商须知</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第二章  采购清单</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第三章  合同条款</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第四章  谈判响应文件格式</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请仔细检查谈判采购文件是否齐全，如有缺漏，请立即与采购人联系解决。</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6.2 谈判供应商被视为充分熟悉本竞争性谈判项目与履行合同有关的各种情况，本谈判采购文件不再对此进行描述。</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pPr>
        <w:pStyle w:val="3"/>
        <w:spacing w:line="360" w:lineRule="auto"/>
        <w:rPr>
          <w:rFonts w:ascii="宋体" w:hAnsi="宋体" w:eastAsia="宋体"/>
        </w:rPr>
      </w:pPr>
      <w:bookmarkStart w:id="15" w:name="_Toc10786"/>
      <w:bookmarkStart w:id="16" w:name="_Toc321385704"/>
      <w:r>
        <w:rPr>
          <w:rFonts w:hint="eastAsia" w:ascii="宋体" w:hAnsi="宋体" w:eastAsia="宋体"/>
        </w:rPr>
        <w:t>7．谈判采购文件的澄清</w:t>
      </w:r>
      <w:bookmarkEnd w:id="15"/>
      <w:bookmarkEnd w:id="1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若谈判供应商对谈判采购文件有疑点，可用书面形式在竞争性谈判响应文件递交截止时间三天前通知采购人。</w:t>
      </w:r>
    </w:p>
    <w:p>
      <w:pPr>
        <w:pStyle w:val="3"/>
        <w:rPr>
          <w:rFonts w:ascii="宋体" w:hAnsi="宋体" w:eastAsia="宋体"/>
        </w:rPr>
      </w:pPr>
      <w:bookmarkStart w:id="17" w:name="_Toc321385705"/>
      <w:bookmarkStart w:id="18" w:name="_Toc9096"/>
      <w:r>
        <w:rPr>
          <w:rFonts w:hint="eastAsia" w:ascii="宋体" w:hAnsi="宋体" w:eastAsia="宋体"/>
        </w:rPr>
        <w:t>8．谈判采购文件的更正或补充</w:t>
      </w:r>
      <w:bookmarkEnd w:id="17"/>
      <w:bookmarkEnd w:id="1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8.l 在竞争性谈判响应文件递交截止时间前，由于需对谈判供应商的提问进行澄清或其他任何原因，采购人均可对谈判采购文件用书面澄清的方式进行修正。</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8.2 对谈判采购文件的更正，采购人将以传真方式通知所有谈判供应商。澄清文件将作为谈判采购文件的组成部分，对所有谈判供应商有约束力。</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8.3 当谈判采购文件与澄清文件相矛盾时，以采购人最后发出的澄清文件为准。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8.4 谈判供应商在收到澄清文件后，应于一个工作日内正式书面回函采购人，逾期不回的，视同谈判供应商已收到澄清文件。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pPr>
        <w:pStyle w:val="3"/>
        <w:spacing w:line="360" w:lineRule="auto"/>
        <w:jc w:val="center"/>
        <w:rPr>
          <w:rFonts w:ascii="宋体" w:hAnsi="宋体" w:eastAsia="宋体"/>
        </w:rPr>
      </w:pPr>
      <w:bookmarkStart w:id="19" w:name="_Toc321385706"/>
      <w:bookmarkStart w:id="20" w:name="_Toc32360"/>
      <w:r>
        <w:rPr>
          <w:rFonts w:hint="eastAsia" w:ascii="宋体" w:hAnsi="宋体" w:eastAsia="宋体"/>
        </w:rPr>
        <w:t>三  谈判响应文件</w:t>
      </w:r>
      <w:bookmarkEnd w:id="19"/>
      <w:bookmarkEnd w:id="20"/>
    </w:p>
    <w:p>
      <w:pPr>
        <w:pStyle w:val="3"/>
        <w:rPr>
          <w:rFonts w:ascii="宋体" w:hAnsi="宋体" w:eastAsia="宋体"/>
        </w:rPr>
      </w:pPr>
      <w:bookmarkStart w:id="21" w:name="_Toc321385707"/>
      <w:bookmarkStart w:id="22" w:name="_Toc17348"/>
      <w:r>
        <w:rPr>
          <w:rFonts w:hint="eastAsia" w:ascii="宋体" w:hAnsi="宋体" w:eastAsia="宋体"/>
        </w:rPr>
        <w:t>9．谈判响应文件的语言及度量衡</w:t>
      </w:r>
      <w:bookmarkEnd w:id="21"/>
      <w:bookmarkEnd w:id="2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9.l 谈判响应文件以及谈判供应商与采购人之间的所有书面往来都应用简体中文书写。</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9.2 谈判供应商已印刷好的资料如产品样本、说明书等可以用其他语言，但其中要点应附有中文译文。在解释谈判响应文件时，以译文为准。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9.3 除在谈判采购文件第四章中另有规定外，度量衡单位应使用国际单位制。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9.4 本谈判响应文件所表达的时间均为北京时间。</w:t>
      </w:r>
    </w:p>
    <w:p>
      <w:pPr>
        <w:pStyle w:val="3"/>
        <w:rPr>
          <w:rFonts w:ascii="宋体" w:hAnsi="宋体" w:eastAsia="宋体"/>
        </w:rPr>
      </w:pPr>
      <w:bookmarkStart w:id="23" w:name="_Toc321385708"/>
      <w:bookmarkStart w:id="24" w:name="_Toc12329"/>
      <w:r>
        <w:rPr>
          <w:rFonts w:hint="eastAsia" w:ascii="宋体" w:hAnsi="宋体" w:eastAsia="宋体"/>
        </w:rPr>
        <w:t>10．谈判响应文件的组成</w:t>
      </w:r>
      <w:bookmarkEnd w:id="23"/>
      <w:bookmarkEnd w:id="2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10.l 谈判响应文件应包括以下部分（目录及有关格式按谈判采购文件第四章“谈判响应文件格式”要求）：</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10.1.l谈判函、谈判报价及项目相关文件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 xml:space="preserve">10.1.2 谈判供应商资格证明文件 </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10.2谈判供应商未按谈判采购文件的要求提供资料，或未对谈判采购文件做出实质性响应，将导致谈判响应文件被视为无效。</w:t>
      </w:r>
    </w:p>
    <w:p>
      <w:pPr>
        <w:pStyle w:val="3"/>
        <w:rPr>
          <w:rFonts w:ascii="宋体" w:hAnsi="宋体" w:eastAsia="宋体"/>
        </w:rPr>
      </w:pPr>
      <w:bookmarkStart w:id="25" w:name="_Toc321385709"/>
      <w:bookmarkStart w:id="26" w:name="_Toc14909"/>
      <w:r>
        <w:rPr>
          <w:rFonts w:hint="eastAsia" w:ascii="宋体" w:hAnsi="宋体" w:eastAsia="宋体"/>
        </w:rPr>
        <w:t>11．谈判报价</w:t>
      </w:r>
      <w:bookmarkEnd w:id="25"/>
      <w:bookmarkEnd w:id="2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11.1 本次采购采用总承包方式，因此谈判供应商的报价应包括全部货物、工程和服务的价格及相关税费，运输到指定地点的装运费用、安装调试、培训、售后服务等其他有关的所有费用。</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11.2 采购人不接受备选的谈判方案或有选择的报价。</w:t>
      </w:r>
    </w:p>
    <w:p>
      <w:pPr>
        <w:pStyle w:val="3"/>
        <w:rPr>
          <w:rFonts w:ascii="宋体" w:hAnsi="宋体" w:eastAsia="宋体"/>
        </w:rPr>
      </w:pPr>
      <w:bookmarkStart w:id="27" w:name="_Toc24613"/>
      <w:bookmarkStart w:id="28" w:name="_Toc321385710"/>
      <w:r>
        <w:rPr>
          <w:rFonts w:hint="eastAsia" w:ascii="宋体" w:hAnsi="宋体" w:eastAsia="宋体"/>
        </w:rPr>
        <w:t>12 .谈判报价的货币</w:t>
      </w:r>
      <w:bookmarkEnd w:id="27"/>
      <w:bookmarkEnd w:id="2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本次谈判采购的报价均须以人民币表示。谈判采购文件另有规定的，从其规定。</w:t>
      </w:r>
    </w:p>
    <w:p>
      <w:pPr>
        <w:pStyle w:val="3"/>
        <w:rPr>
          <w:rFonts w:ascii="宋体" w:hAnsi="宋体" w:eastAsia="宋体"/>
        </w:rPr>
      </w:pPr>
      <w:bookmarkStart w:id="29" w:name="_Toc19503"/>
      <w:bookmarkStart w:id="30" w:name="_Toc321385711"/>
      <w:r>
        <w:rPr>
          <w:rFonts w:hint="eastAsia" w:ascii="宋体" w:hAnsi="宋体" w:eastAsia="宋体"/>
        </w:rPr>
        <w:t>13 .竞争性谈判保证金</w:t>
      </w:r>
      <w:bookmarkEnd w:id="29"/>
      <w:bookmarkEnd w:id="3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13.1 竞争性谈判保证金是参加本项目谈判的必要条件，金额按谈判采购文件前附表的要求执行。</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13.2 竞争性谈判保证金必须在谈判响应文件递交截止时间前交纳。</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13.3 保证金的交纳形式为有效银行转账支票、银行汇票等（采购人不接受现金或其他形式的保证金）。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13.4 若谈判供应商不按第 13.1、13.2和13.3条的规定缴纳竞争性谈判保证金，其谈判响应文件将被拒绝接受。</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 竞争性谈判保证金的退还</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13.5.l 成交候选人的竞争性谈判保证金在其与采购人签订合同后自动转为履约保证金。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13.5.2</w:t>
      </w:r>
      <w:r>
        <w:rPr>
          <w:rFonts w:hint="eastAsia" w:hAnsi="宋体"/>
          <w:sz w:val="24"/>
          <w:szCs w:val="28"/>
        </w:rPr>
        <w:t>非成交</w:t>
      </w:r>
      <w:r>
        <w:rPr>
          <w:rFonts w:hint="eastAsia" w:ascii="宋体" w:hAnsi="宋体"/>
          <w:kern w:val="0"/>
          <w:sz w:val="24"/>
          <w:szCs w:val="28"/>
        </w:rPr>
        <w:t>候选人</w:t>
      </w:r>
      <w:r>
        <w:rPr>
          <w:rFonts w:hint="eastAsia" w:hAnsi="宋体"/>
          <w:sz w:val="24"/>
          <w:szCs w:val="28"/>
        </w:rPr>
        <w:t>供应商在采购人发出成交通知书后根据采购人的相关财务规定向采购人申请无息退还竞争性谈判保证金。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13.6 发生下列情况之一，竞争性谈判保证金将不予退还：</w:t>
      </w:r>
    </w:p>
    <w:p>
      <w:pPr>
        <w:spacing w:line="360" w:lineRule="auto"/>
        <w:ind w:firstLine="480"/>
        <w:rPr>
          <w:rFonts w:hAnsi="宋体"/>
          <w:sz w:val="24"/>
          <w:szCs w:val="28"/>
        </w:rPr>
      </w:pPr>
      <w:r>
        <w:rPr>
          <w:rFonts w:hint="eastAsia" w:hAnsi="宋体"/>
          <w:sz w:val="24"/>
          <w:szCs w:val="28"/>
        </w:rPr>
        <w:t>（1）谈判供应商在竞争性谈判有效期内放弃或撤回谈判响应文件；</w:t>
      </w:r>
    </w:p>
    <w:p>
      <w:pPr>
        <w:spacing w:line="360" w:lineRule="auto"/>
        <w:ind w:firstLine="480"/>
        <w:rPr>
          <w:rFonts w:hAnsi="宋体"/>
          <w:sz w:val="24"/>
          <w:szCs w:val="28"/>
        </w:rPr>
      </w:pPr>
      <w:r>
        <w:rPr>
          <w:rFonts w:hint="eastAsia" w:hAnsi="宋体"/>
          <w:sz w:val="24"/>
          <w:szCs w:val="28"/>
        </w:rPr>
        <w:t>（2）成交候选人供应商不按规定签订合同；</w:t>
      </w:r>
    </w:p>
    <w:p>
      <w:pPr>
        <w:spacing w:line="360" w:lineRule="auto"/>
        <w:ind w:firstLine="480"/>
        <w:rPr>
          <w:rFonts w:hAnsi="宋体"/>
          <w:sz w:val="24"/>
          <w:szCs w:val="28"/>
        </w:rPr>
      </w:pPr>
      <w:r>
        <w:rPr>
          <w:rFonts w:hint="eastAsia" w:hAnsi="宋体"/>
          <w:sz w:val="24"/>
          <w:szCs w:val="28"/>
        </w:rPr>
        <w:t>（3）谈判供应商提供虚假材料谋取中标、成交的；</w:t>
      </w:r>
    </w:p>
    <w:p>
      <w:pPr>
        <w:spacing w:line="360" w:lineRule="auto"/>
        <w:ind w:firstLine="480"/>
        <w:rPr>
          <w:rFonts w:hAnsi="宋体"/>
          <w:sz w:val="24"/>
          <w:szCs w:val="28"/>
        </w:rPr>
      </w:pPr>
      <w:r>
        <w:rPr>
          <w:rFonts w:hint="eastAsia" w:hAnsi="宋体"/>
          <w:sz w:val="24"/>
          <w:szCs w:val="28"/>
        </w:rPr>
        <w:t>（4）采取不正当手段诋毁、排挤其他谈判供应商的；</w:t>
      </w:r>
    </w:p>
    <w:p>
      <w:pPr>
        <w:spacing w:line="360" w:lineRule="auto"/>
        <w:ind w:firstLine="480"/>
        <w:rPr>
          <w:rFonts w:hAnsi="宋体"/>
          <w:sz w:val="24"/>
          <w:szCs w:val="28"/>
        </w:rPr>
      </w:pPr>
      <w:r>
        <w:rPr>
          <w:rFonts w:hint="eastAsia" w:hAnsi="宋体"/>
          <w:sz w:val="24"/>
          <w:szCs w:val="28"/>
        </w:rPr>
        <w:t>（5）与其他谈判供应商恶意串通的；</w:t>
      </w:r>
    </w:p>
    <w:p>
      <w:pPr>
        <w:pStyle w:val="33"/>
        <w:spacing w:line="360" w:lineRule="auto"/>
        <w:ind w:left="0" w:firstLine="480" w:firstLineChars="200"/>
        <w:rPr>
          <w:rFonts w:ascii="宋体" w:hAnsi="宋体"/>
          <w:kern w:val="0"/>
          <w:sz w:val="24"/>
          <w:szCs w:val="28"/>
        </w:rPr>
      </w:pPr>
      <w:r>
        <w:rPr>
          <w:rFonts w:hint="eastAsia" w:hAnsi="宋体"/>
          <w:sz w:val="24"/>
          <w:szCs w:val="28"/>
        </w:rPr>
        <w:t>（6）向采购人相关人员行贿或者提供其他不正当利益的。</w:t>
      </w:r>
    </w:p>
    <w:p>
      <w:pPr>
        <w:pStyle w:val="3"/>
        <w:rPr>
          <w:rFonts w:ascii="宋体" w:hAnsi="宋体" w:eastAsia="宋体"/>
        </w:rPr>
      </w:pPr>
      <w:bookmarkStart w:id="31" w:name="_Toc12349"/>
      <w:bookmarkStart w:id="32" w:name="_Toc321385712"/>
      <w:r>
        <w:rPr>
          <w:rFonts w:hint="eastAsia" w:ascii="宋体" w:hAnsi="宋体" w:eastAsia="宋体"/>
        </w:rPr>
        <w:t>14．竞争性谈判有效期</w:t>
      </w:r>
      <w:bookmarkEnd w:id="31"/>
      <w:bookmarkEnd w:id="3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14.l 竞争性谈判有效期为从谈判响应文件递交截止之日起计算的九十天，有效期短于此规定的谈判响应文件将被视为无效。</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pPr>
        <w:pStyle w:val="3"/>
        <w:rPr>
          <w:rFonts w:ascii="宋体" w:hAnsi="宋体" w:eastAsia="宋体"/>
        </w:rPr>
      </w:pPr>
      <w:bookmarkStart w:id="33" w:name="_Toc321385713"/>
      <w:bookmarkStart w:id="34" w:name="_Toc1858"/>
      <w:r>
        <w:rPr>
          <w:rFonts w:hint="eastAsia" w:ascii="宋体" w:hAnsi="宋体" w:eastAsia="宋体"/>
        </w:rPr>
        <w:t>15．谈判响应文件的签署及形式</w:t>
      </w:r>
      <w:bookmarkEnd w:id="33"/>
      <w:bookmarkEnd w:id="3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15.l 谈判供应商按谈判采购文件第四章要求制作谈判响应文件，每份谈判响应文件均须在封面上清楚标明“正本”或“副本”字样。“正本”和“副本”之间如有差异，以正本为准。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15.3 谈判响应文件如有错误必须修改时，修改处须由法人代表或其授权代表签署或加盖公章。</w:t>
      </w:r>
    </w:p>
    <w:p>
      <w:pPr>
        <w:pStyle w:val="3"/>
        <w:jc w:val="center"/>
        <w:rPr>
          <w:rFonts w:ascii="宋体" w:hAnsi="宋体" w:eastAsia="宋体"/>
        </w:rPr>
      </w:pPr>
      <w:bookmarkStart w:id="35" w:name="_Toc17814"/>
      <w:bookmarkStart w:id="36" w:name="_Toc321385714"/>
      <w:r>
        <w:rPr>
          <w:rFonts w:hint="eastAsia" w:ascii="宋体" w:hAnsi="宋体" w:eastAsia="宋体"/>
        </w:rPr>
        <w:t>四  谈判响应文件的递交</w:t>
      </w:r>
      <w:bookmarkEnd w:id="35"/>
      <w:bookmarkEnd w:id="36"/>
    </w:p>
    <w:p>
      <w:pPr>
        <w:pStyle w:val="3"/>
        <w:rPr>
          <w:rFonts w:ascii="宋体" w:hAnsi="宋体" w:eastAsia="宋体"/>
        </w:rPr>
      </w:pPr>
      <w:bookmarkStart w:id="37" w:name="_Toc6557"/>
      <w:bookmarkStart w:id="38" w:name="_Toc321385715"/>
      <w:r>
        <w:rPr>
          <w:rFonts w:hint="eastAsia" w:ascii="宋体" w:hAnsi="宋体" w:eastAsia="宋体"/>
        </w:rPr>
        <w:t>16．谈判响应文件的密封及标记</w:t>
      </w:r>
      <w:bookmarkEnd w:id="37"/>
      <w:bookmarkEnd w:id="3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16.l 谈判供应商应将谈判响应文件正本和所有副本分别密封在两个谈判专用袋（箱）中（正本一包，副本一包），并在谈判专用袋（箱）上标明“正本”、“副本”字样，封口处应加盖骑缝章或授权代表签字。</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16.2 谈判专用袋（箱）上须注明：</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（l）采购编号及项目名称；</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（2）分包号（如有）；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（3）谈判供应商的名称、地址、联系人、电话和传真。</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16.3 谈判响应文件未按第 16．l和 16．2条规定书写标记和密封者，采购人不对谈判响应文件被错放或先期启封负责。</w:t>
      </w:r>
    </w:p>
    <w:p>
      <w:pPr>
        <w:pStyle w:val="3"/>
        <w:rPr>
          <w:rFonts w:ascii="宋体" w:hAnsi="宋体" w:eastAsia="宋体"/>
        </w:rPr>
      </w:pPr>
      <w:bookmarkStart w:id="39" w:name="_Toc9457"/>
      <w:bookmarkStart w:id="40" w:name="_Toc321385716"/>
      <w:r>
        <w:rPr>
          <w:rFonts w:hint="eastAsia" w:ascii="宋体" w:hAnsi="宋体" w:eastAsia="宋体"/>
        </w:rPr>
        <w:t>17．竞争性谈判响应文件递交截止时间</w:t>
      </w:r>
      <w:bookmarkEnd w:id="39"/>
      <w:bookmarkEnd w:id="4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17.l 谈判供应商须在谈判采购文件前附表规定的谈判响应文件递交截止时间前将谈判响应文件送达谈判采购文件中指定的地点。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17.2 若采购人按8.5条规定推迟了竞争性谈判响应文件递交截止时间，采购人和谈判供应商受谈判响应文件递交截止时间制约的所有权利和义务均应以新的截止时间为准。</w:t>
      </w:r>
    </w:p>
    <w:p>
      <w:pPr>
        <w:pStyle w:val="3"/>
        <w:rPr>
          <w:rFonts w:ascii="宋体" w:hAnsi="宋体" w:eastAsia="宋体"/>
        </w:rPr>
      </w:pPr>
      <w:bookmarkStart w:id="41" w:name="_Toc3947"/>
      <w:bookmarkStart w:id="42" w:name="_Toc321385717"/>
      <w:r>
        <w:rPr>
          <w:rFonts w:hint="eastAsia" w:ascii="宋体" w:hAnsi="宋体" w:eastAsia="宋体"/>
        </w:rPr>
        <w:t>18．迟交的谈判响应文件</w:t>
      </w:r>
      <w:bookmarkEnd w:id="41"/>
      <w:bookmarkEnd w:id="4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在谈判响应文件递交截止时间后递交的谈判响应文件，采购人将拒绝接受。</w:t>
      </w:r>
    </w:p>
    <w:p>
      <w:pPr>
        <w:pStyle w:val="3"/>
        <w:rPr>
          <w:rFonts w:ascii="宋体" w:hAnsi="宋体" w:eastAsia="宋体"/>
        </w:rPr>
      </w:pPr>
      <w:bookmarkStart w:id="43" w:name="_Toc653"/>
      <w:bookmarkStart w:id="44" w:name="_Toc321385718"/>
      <w:r>
        <w:rPr>
          <w:rFonts w:hint="eastAsia" w:ascii="宋体" w:hAnsi="宋体" w:eastAsia="宋体"/>
        </w:rPr>
        <w:t>19．谈判响应文件的修改和撤回</w:t>
      </w:r>
      <w:bookmarkEnd w:id="43"/>
      <w:bookmarkEnd w:id="4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19.3 谈判供应商不得在竞争性谈判响应文件递交截止时间起至竞争性谈判有效期满前撤回谈判响应文件，否则竞争性谈判保证金将被没收。该谈判供应商的谈判响应文件不予退还。</w:t>
      </w:r>
    </w:p>
    <w:p>
      <w:pPr>
        <w:pStyle w:val="3"/>
        <w:jc w:val="center"/>
        <w:rPr>
          <w:rFonts w:ascii="宋体" w:hAnsi="宋体" w:eastAsia="宋体"/>
        </w:rPr>
      </w:pPr>
      <w:bookmarkStart w:id="45" w:name="_Toc321385719"/>
      <w:bookmarkStart w:id="46" w:name="_Toc18853"/>
      <w:r>
        <w:rPr>
          <w:rFonts w:hint="eastAsia" w:ascii="宋体" w:hAnsi="宋体" w:eastAsia="宋体"/>
        </w:rPr>
        <w:t>五  竞争性谈判及报价</w:t>
      </w:r>
      <w:bookmarkEnd w:id="45"/>
      <w:bookmarkEnd w:id="46"/>
    </w:p>
    <w:p>
      <w:pPr>
        <w:pStyle w:val="3"/>
        <w:rPr>
          <w:rFonts w:ascii="宋体" w:hAnsi="宋体" w:eastAsia="宋体"/>
        </w:rPr>
      </w:pPr>
      <w:bookmarkStart w:id="47" w:name="_Toc10833"/>
      <w:bookmarkStart w:id="48" w:name="_Toc321385720"/>
      <w:r>
        <w:rPr>
          <w:rFonts w:hint="eastAsia" w:ascii="宋体" w:hAnsi="宋体" w:eastAsia="宋体"/>
        </w:rPr>
        <w:t>20．竞争性谈判报价</w:t>
      </w:r>
      <w:bookmarkEnd w:id="47"/>
      <w:bookmarkEnd w:id="4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20.l 采购人按谈判采购文件前附表规定的时间和地点组织竞争性谈判及报价。</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20.5 若谈判响应文件未密封，或未提交竞争性谈判保证金（包括保证金不符合第13条规定），采购人将拒绝接受该谈判响应文件。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20.6 按照第19条规定，同意撤回的谈判响应文件将不予拆封。</w:t>
      </w:r>
    </w:p>
    <w:p>
      <w:pPr>
        <w:pStyle w:val="33"/>
        <w:spacing w:line="360" w:lineRule="auto"/>
        <w:ind w:left="0" w:firstLine="480" w:firstLineChars="200"/>
        <w:rPr>
          <w:rFonts w:ascii="宋体" w:hAnsi="宋体"/>
          <w:kern w:val="0"/>
          <w:sz w:val="24"/>
          <w:szCs w:val="28"/>
        </w:rPr>
      </w:pPr>
    </w:p>
    <w:p>
      <w:pPr>
        <w:pStyle w:val="3"/>
        <w:rPr>
          <w:rFonts w:ascii="宋体" w:hAnsi="宋体" w:eastAsia="宋体"/>
        </w:rPr>
      </w:pPr>
      <w:bookmarkStart w:id="49" w:name="_Toc321385722"/>
      <w:bookmarkStart w:id="50" w:name="_Toc24614"/>
      <w:r>
        <w:rPr>
          <w:rFonts w:hint="eastAsia" w:ascii="宋体" w:hAnsi="宋体" w:eastAsia="宋体"/>
        </w:rPr>
        <w:t>21．对谈判响应文件的资格性审查和符合性审查</w:t>
      </w:r>
      <w:bookmarkEnd w:id="49"/>
      <w:bookmarkEnd w:id="5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21.l 资格性审查的内容包括：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（1）资格证明</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（2）竞争性谈判保证金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21.2 符合性审查的内容包括：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（1）谈判响应文件的有效性(签署情况等)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（2）谈判响应文件的完整性(正本和副本数量、内容等)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（3）对谈判采购文件的响应程度（是否存在重大负偏离等）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以上资格性审查和符合性审查的内容只要有一条不满足，则谈判响应文件无效。</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判断谈判响应文件的响应与否只根据谈判响应文件本身，而不寻求外部证据。</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 谈判小组在初审中，对算术错误的修正原则如下:</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21.4.l 谈判响应文件的大写金额和小写金额不一致的，以大写金额为准；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21.4.2 总价金额与按单价汇总金额不一致的，以单价金额计算结果为准；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21.4.3 单价金额小数点有明显错位的，以总价为准并修改单价；</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21.4.4 若谈判供应商不同意以上修正，谈判响应文件视为无效。</w:t>
      </w:r>
    </w:p>
    <w:p>
      <w:pPr>
        <w:pStyle w:val="3"/>
        <w:rPr>
          <w:rFonts w:ascii="宋体" w:hAnsi="宋体" w:eastAsia="宋体"/>
        </w:rPr>
      </w:pPr>
      <w:bookmarkStart w:id="51" w:name="_Toc2575"/>
      <w:bookmarkStart w:id="52" w:name="_Toc321385723"/>
      <w:r>
        <w:rPr>
          <w:rFonts w:hint="eastAsia" w:ascii="宋体" w:hAnsi="宋体" w:eastAsia="宋体"/>
        </w:rPr>
        <w:t>22. 具体谈判工作流程</w:t>
      </w:r>
      <w:bookmarkEnd w:id="51"/>
      <w:bookmarkEnd w:id="5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22.1 谈判小组讨论、通过谈判工作流程和谈判要点。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22.2 谈判小组审阅谈判响应文件。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22.3 围绕谈判要点，谈判小组全体成员集中与各个谈判供应商分别进行谈判。逐家谈判一次为一个轮次，谈判轮次由谈判小组视情况决定。</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22.4 谈判采购文件有实质性变动的，谈判小组将以书面形式通知所有参加谈判的谈判供应商。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22.5 谈判结束后，谈判小组将要求所有“符合采购需求，质量和服务相等”的谈判供应商在规定时间内确定并提交最终报价,采购人将现场公开唱标。</w:t>
      </w:r>
      <w:r>
        <w:rPr>
          <w:rFonts w:ascii="宋体" w:hAnsi="宋体"/>
          <w:kern w:val="0"/>
          <w:sz w:val="24"/>
          <w:szCs w:val="28"/>
        </w:rPr>
        <w:t>如果采购需求无实质性变更，谈判供应商在最终报价时不能高于第一轮报价，否则该报价作废标处理</w:t>
      </w:r>
      <w:r>
        <w:rPr>
          <w:rFonts w:hint="eastAsia" w:ascii="宋体" w:hAnsi="宋体"/>
          <w:kern w:val="0"/>
          <w:sz w:val="24"/>
          <w:szCs w:val="28"/>
        </w:rPr>
        <w:t>。在规定时间内没有提交最终报价的谈判供应商，其谈判响应文件视为无效。</w:t>
      </w:r>
    </w:p>
    <w:p>
      <w:pPr>
        <w:pStyle w:val="3"/>
        <w:rPr>
          <w:rFonts w:ascii="宋体" w:hAnsi="宋体" w:eastAsia="宋体"/>
        </w:rPr>
      </w:pPr>
      <w:bookmarkStart w:id="53" w:name="_Toc29002"/>
      <w:bookmarkStart w:id="54" w:name="_Toc321385724"/>
      <w:r>
        <w:rPr>
          <w:rFonts w:hint="eastAsia" w:ascii="宋体" w:hAnsi="宋体" w:eastAsia="宋体"/>
        </w:rPr>
        <w:t>23．谈判响应文件的澄清</w:t>
      </w:r>
      <w:bookmarkEnd w:id="53"/>
      <w:bookmarkEnd w:id="5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23．l 在谈判期间，谈判小组有权要求谈判供应商对其谈判响应文件含义不明确、同类问题表述不一致或者有明显文字和计算错误的内容进行澄清。谈判供应商应派授权代表和技术人员按谈判小组通知的时间和地点接受询标。</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23.3 谈判供应商不按谈判小组规定的时间和地点作书面澄清，将视为放弃该权利。</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23.4 并非每个谈判供应商都将被询标。</w:t>
      </w:r>
    </w:p>
    <w:p>
      <w:pPr>
        <w:pStyle w:val="3"/>
        <w:rPr>
          <w:rFonts w:ascii="宋体" w:hAnsi="宋体" w:eastAsia="宋体"/>
        </w:rPr>
      </w:pPr>
      <w:bookmarkStart w:id="55" w:name="_Toc321385725"/>
      <w:bookmarkStart w:id="56" w:name="_Toc30499"/>
      <w:r>
        <w:rPr>
          <w:rFonts w:hint="eastAsia" w:ascii="宋体" w:hAnsi="宋体" w:eastAsia="宋体"/>
        </w:rPr>
        <w:t>24．确定成交供应商</w:t>
      </w:r>
      <w:bookmarkEnd w:id="55"/>
      <w:bookmarkEnd w:id="5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24．l 谈判小组将对通过资格性审查和符合性审查的谈判响应文件进行评价和比较。</w:t>
      </w:r>
    </w:p>
    <w:p>
      <w:pPr>
        <w:tabs>
          <w:tab w:val="left" w:pos="0"/>
        </w:tabs>
        <w:spacing w:line="360" w:lineRule="auto"/>
        <w:ind w:right="17" w:firstLine="454" w:firstLineChars="189"/>
        <w:rPr>
          <w:rFonts w:hAnsi="宋体"/>
          <w:sz w:val="24"/>
          <w:szCs w:val="28"/>
        </w:rPr>
      </w:pPr>
      <w:r>
        <w:rPr>
          <w:rFonts w:hint="eastAsia" w:hAnsi="宋体"/>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pPr>
        <w:pStyle w:val="3"/>
        <w:rPr>
          <w:rFonts w:ascii="宋体" w:hAnsi="宋体" w:eastAsia="宋体"/>
        </w:rPr>
      </w:pPr>
      <w:bookmarkStart w:id="57" w:name="_Toc321385726"/>
      <w:bookmarkStart w:id="58" w:name="_Toc13231"/>
      <w:r>
        <w:rPr>
          <w:rFonts w:hint="eastAsia" w:ascii="宋体" w:hAnsi="宋体" w:eastAsia="宋体"/>
        </w:rPr>
        <w:t>25．谈判过程保密</w:t>
      </w:r>
      <w:bookmarkEnd w:id="57"/>
      <w:bookmarkEnd w:id="5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25.l 在宣布成交结果之前，凡属于审查、澄清、评价、比较谈判响应文件等有关信息，相关当事人均不得泄露给任何谈判供应商或与谈判工作无关的人员。</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25.2 谈判供应商不得探听上述信息，不得以任何行为影响谈判过程，否则其谈判响应文件将被作为无效谈判响应文件。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25.3 在谈判期间，采购人将有专门人员与谈判供应商进行联络。</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 4 采购人和谈判小组不向未成交的谈判供应商解释未成交原因，也不对谈判过程中的细节问题进行公布。</w:t>
      </w:r>
    </w:p>
    <w:p>
      <w:pPr>
        <w:pStyle w:val="3"/>
        <w:rPr>
          <w:rFonts w:ascii="宋体" w:hAnsi="宋体" w:eastAsia="宋体"/>
        </w:rPr>
      </w:pPr>
      <w:bookmarkStart w:id="59" w:name="_Toc20917"/>
      <w:bookmarkStart w:id="60" w:name="_Toc321385727"/>
      <w:r>
        <w:rPr>
          <w:rFonts w:hint="eastAsia" w:ascii="宋体" w:hAnsi="宋体" w:eastAsia="宋体"/>
        </w:rPr>
        <w:t>26．谈判供应商不足三家的处理</w:t>
      </w:r>
      <w:bookmarkEnd w:id="59"/>
      <w:bookmarkEnd w:id="60"/>
    </w:p>
    <w:p>
      <w:pPr>
        <w:spacing w:line="360" w:lineRule="auto"/>
        <w:ind w:firstLine="480" w:firstLineChars="200"/>
        <w:rPr>
          <w:rFonts w:hAnsi="宋体"/>
          <w:sz w:val="24"/>
          <w:szCs w:val="28"/>
        </w:rPr>
      </w:pPr>
      <w:r>
        <w:rPr>
          <w:rFonts w:hint="eastAsia" w:hAnsi="宋体"/>
          <w:sz w:val="24"/>
          <w:szCs w:val="28"/>
        </w:rPr>
        <w:t>26.1至谈判响应文件递交截止时间，谈判供应商不足3家以及在谈判期间出现符合专业条件的谈判供应商或者对采购文件做出实质性响应的谈判供应商不足3家的，采购项目流标。</w:t>
      </w:r>
    </w:p>
    <w:p>
      <w:pPr>
        <w:pStyle w:val="3"/>
        <w:jc w:val="center"/>
        <w:rPr>
          <w:rFonts w:ascii="宋体" w:hAnsi="宋体" w:eastAsia="宋体"/>
        </w:rPr>
      </w:pPr>
      <w:bookmarkStart w:id="61" w:name="_Toc321385728"/>
      <w:bookmarkStart w:id="62" w:name="_Toc719"/>
      <w:r>
        <w:rPr>
          <w:rFonts w:hint="eastAsia" w:ascii="宋体" w:hAnsi="宋体" w:eastAsia="宋体"/>
        </w:rPr>
        <w:t>六  确定成交供应商及签约</w:t>
      </w:r>
      <w:bookmarkEnd w:id="61"/>
      <w:bookmarkEnd w:id="62"/>
    </w:p>
    <w:p>
      <w:pPr>
        <w:pStyle w:val="3"/>
        <w:rPr>
          <w:rFonts w:ascii="宋体" w:hAnsi="宋体" w:eastAsia="宋体"/>
        </w:rPr>
      </w:pPr>
      <w:bookmarkStart w:id="63" w:name="_Toc31596"/>
      <w:bookmarkStart w:id="64" w:name="_Toc321385729"/>
      <w:r>
        <w:rPr>
          <w:rFonts w:hint="eastAsia" w:ascii="宋体" w:hAnsi="宋体" w:eastAsia="宋体"/>
        </w:rPr>
        <w:t>27．确定成交供应商的原则</w:t>
      </w:r>
      <w:bookmarkEnd w:id="63"/>
      <w:bookmarkEnd w:id="6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27.1 谈判小组将严格按照谈判采购文件的要求和条件进行比较,根据谈判采购文件中公布的评审办法推荐出成交候选人。</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28.2 谈判供应商出现下列情况之一的，将被取消成交候选人资格：</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（1）提供虚假材料谋取中标、成交的；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（2）采取不正当手段诋毁、排挤其他谈判供应商的；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（3）与采购人、其他谈判供应商恶意串通的；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（4）向采购人行贿或者提供其他不正当利益的；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（5）不符合法律、法规的规定。</w:t>
      </w:r>
    </w:p>
    <w:p>
      <w:pPr>
        <w:pStyle w:val="3"/>
        <w:rPr>
          <w:rFonts w:ascii="宋体" w:hAnsi="宋体" w:eastAsia="宋体"/>
        </w:rPr>
      </w:pPr>
      <w:bookmarkStart w:id="65" w:name="_Toc9607"/>
      <w:bookmarkStart w:id="66" w:name="_Toc321385730"/>
      <w:r>
        <w:rPr>
          <w:rFonts w:hint="eastAsia" w:ascii="宋体" w:hAnsi="宋体" w:eastAsia="宋体"/>
        </w:rPr>
        <w:t>28. 质疑处理</w:t>
      </w:r>
      <w:bookmarkEnd w:id="65"/>
      <w:bookmarkEnd w:id="66"/>
    </w:p>
    <w:p>
      <w:pPr>
        <w:spacing w:line="360" w:lineRule="auto"/>
        <w:ind w:firstLine="480" w:firstLineChars="200"/>
        <w:rPr>
          <w:rFonts w:hAnsi="宋体"/>
          <w:sz w:val="24"/>
          <w:szCs w:val="28"/>
        </w:rPr>
      </w:pPr>
      <w:r>
        <w:rPr>
          <w:rFonts w:hint="eastAsia" w:hAnsi="宋体"/>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pPr>
        <w:pStyle w:val="3"/>
        <w:rPr>
          <w:rFonts w:ascii="宋体" w:hAnsi="宋体" w:eastAsia="宋体"/>
        </w:rPr>
      </w:pPr>
      <w:bookmarkStart w:id="67" w:name="_Toc1106"/>
      <w:bookmarkStart w:id="68" w:name="_Toc321385732"/>
      <w:r>
        <w:rPr>
          <w:rFonts w:hint="eastAsia" w:ascii="宋体" w:hAnsi="宋体" w:eastAsia="宋体"/>
        </w:rPr>
        <w:t>29．签订合同</w:t>
      </w:r>
      <w:bookmarkEnd w:id="67"/>
      <w:bookmarkEnd w:id="68"/>
    </w:p>
    <w:p>
      <w:pPr>
        <w:spacing w:line="360" w:lineRule="auto"/>
        <w:ind w:firstLine="480" w:firstLineChars="200"/>
        <w:rPr>
          <w:rFonts w:hAnsi="宋体"/>
          <w:sz w:val="24"/>
          <w:szCs w:val="28"/>
        </w:rPr>
      </w:pPr>
      <w:r>
        <w:rPr>
          <w:rFonts w:hint="eastAsia" w:hAnsi="宋体"/>
          <w:sz w:val="24"/>
          <w:szCs w:val="28"/>
        </w:rPr>
        <w:t>29．l 成交供应商应按成交通知书规定的时间、地点与采购人签订成交合同,否则竞争性谈判保证金将不予退还，给采购人造成损失的，成交供应商还应承担赔偿责任。</w:t>
      </w:r>
    </w:p>
    <w:p>
      <w:pPr>
        <w:spacing w:line="360" w:lineRule="auto"/>
        <w:ind w:firstLine="480" w:firstLineChars="200"/>
        <w:rPr>
          <w:rFonts w:hAnsi="宋体"/>
          <w:sz w:val="24"/>
          <w:szCs w:val="28"/>
        </w:rPr>
      </w:pPr>
      <w:r>
        <w:rPr>
          <w:rFonts w:hint="eastAsia" w:hAnsi="宋体"/>
          <w:sz w:val="24"/>
          <w:szCs w:val="28"/>
        </w:rPr>
        <w:t>29.2 谈判采购文件、成交供应商的谈判响应文件及谈判过程中有关澄清文件、成交通知书均应作为合同附件。</w:t>
      </w:r>
    </w:p>
    <w:p>
      <w:pPr>
        <w:spacing w:line="360" w:lineRule="auto"/>
        <w:ind w:firstLine="480" w:firstLineChars="200"/>
        <w:rPr>
          <w:rFonts w:hAnsi="宋体"/>
          <w:sz w:val="24"/>
          <w:szCs w:val="28"/>
        </w:rPr>
      </w:pPr>
      <w:r>
        <w:rPr>
          <w:rFonts w:hint="eastAsia" w:hAnsi="宋体"/>
          <w:sz w:val="24"/>
          <w:szCs w:val="28"/>
        </w:rPr>
        <w:t>29.3 签订合同后，成交供应商不得将货物、工程及其他相关服务进行转包。未经采购人同意，成交供应商不得采用分包的形式履行合同。否则采购人有权终止合同，成交供应商的履约保证金将不予退还。转包或分包造成采购人损失的， 成交供应商还应承担相应赔偿责任。</w:t>
      </w:r>
    </w:p>
    <w:p>
      <w:pPr>
        <w:pStyle w:val="33"/>
        <w:spacing w:line="360" w:lineRule="auto"/>
        <w:ind w:left="0" w:firstLine="480" w:firstLineChars="200"/>
        <w:rPr>
          <w:rFonts w:ascii="宋体" w:hAnsi="宋体"/>
          <w:kern w:val="0"/>
          <w:sz w:val="24"/>
          <w:szCs w:val="28"/>
        </w:rPr>
      </w:pPr>
    </w:p>
    <w:p>
      <w:pPr>
        <w:pStyle w:val="2"/>
        <w:spacing w:line="360" w:lineRule="auto"/>
        <w:jc w:val="center"/>
        <w:rPr>
          <w:rFonts w:hAnsi="宋体"/>
        </w:rPr>
      </w:pPr>
      <w:bookmarkStart w:id="69" w:name="_Toc279410003"/>
      <w:r>
        <w:rPr>
          <w:rFonts w:hAnsi="宋体"/>
        </w:rPr>
        <w:br w:type="page"/>
      </w:r>
      <w:bookmarkStart w:id="70" w:name="_Toc17869"/>
      <w:r>
        <w:rPr>
          <w:rFonts w:hint="eastAsia" w:hAnsi="宋体"/>
        </w:rPr>
        <w:t xml:space="preserve">第二章  </w:t>
      </w:r>
      <w:bookmarkStart w:id="71" w:name="_Toc296526528"/>
      <w:bookmarkStart w:id="72" w:name="_Toc280190841"/>
      <w:r>
        <w:rPr>
          <w:rFonts w:hint="eastAsia" w:hAnsi="宋体"/>
        </w:rPr>
        <w:t>采购清单</w:t>
      </w:r>
      <w:bookmarkEnd w:id="70"/>
    </w:p>
    <w:bookmarkEnd w:id="69"/>
    <w:bookmarkEnd w:id="71"/>
    <w:bookmarkEnd w:id="72"/>
    <w:p>
      <w:pPr>
        <w:pStyle w:val="2"/>
        <w:numPr>
          <w:ilvl w:val="0"/>
          <w:numId w:val="2"/>
        </w:numPr>
        <w:spacing w:line="360" w:lineRule="auto"/>
        <w:jc w:val="left"/>
        <w:rPr>
          <w:rFonts w:hint="eastAsia" w:ascii="宋体" w:hAnsi="宋体" w:eastAsia="宋体" w:cs="宋体"/>
          <w:sz w:val="24"/>
          <w:szCs w:val="24"/>
          <w:lang w:eastAsia="zh-CN"/>
        </w:rPr>
      </w:pPr>
      <w:bookmarkStart w:id="73" w:name="_Toc279410005"/>
      <w:r>
        <w:rPr>
          <w:rFonts w:hint="eastAsia" w:ascii="宋体" w:hAnsi="宋体" w:eastAsia="宋体" w:cs="宋体"/>
          <w:sz w:val="24"/>
          <w:szCs w:val="24"/>
          <w:lang w:eastAsia="zh-CN"/>
        </w:rPr>
        <w:t>需求及技术指标</w:t>
      </w:r>
    </w:p>
    <w:tbl>
      <w:tblPr>
        <w:tblStyle w:val="45"/>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6"/>
        <w:gridCol w:w="7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 w:hRule="atLeast"/>
        </w:trPr>
        <w:tc>
          <w:tcPr>
            <w:tcW w:w="1166"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tcPr>
          <w:p>
            <w:pPr>
              <w:pStyle w:val="17"/>
              <w:spacing w:line="500" w:lineRule="exact"/>
              <w:jc w:val="both"/>
              <w:rPr>
                <w:rFonts w:ascii="仿宋_GB2312" w:eastAsia="仿宋_GB2312"/>
                <w:sz w:val="28"/>
                <w:szCs w:val="28"/>
              </w:rPr>
            </w:pPr>
            <w:r>
              <w:rPr>
                <w:rFonts w:hint="eastAsia" w:ascii="仿宋_GB2312" w:eastAsia="仿宋_GB2312"/>
                <w:sz w:val="28"/>
                <w:szCs w:val="28"/>
              </w:rPr>
              <w:t>项目</w:t>
            </w:r>
          </w:p>
        </w:tc>
        <w:tc>
          <w:tcPr>
            <w:tcW w:w="7259"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pStyle w:val="17"/>
              <w:spacing w:line="500" w:lineRule="exact"/>
              <w:jc w:val="both"/>
              <w:rPr>
                <w:rFonts w:asciiTheme="minorEastAsia" w:hAnsiTheme="minorEastAsia" w:eastAsiaTheme="minorEastAsia"/>
                <w:sz w:val="28"/>
                <w:szCs w:val="28"/>
              </w:rPr>
            </w:pPr>
            <w:r>
              <w:rPr>
                <w:rFonts w:hint="eastAsia" w:asciiTheme="minorEastAsia" w:hAnsiTheme="minorEastAsia" w:eastAsiaTheme="minorEastAsia"/>
                <w:sz w:val="28"/>
                <w:szCs w:val="28"/>
              </w:rPr>
              <w:t>电子书（远程包库）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 w:hRule="atLeast"/>
        </w:trPr>
        <w:tc>
          <w:tcPr>
            <w:tcW w:w="1166"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tcPr>
          <w:p>
            <w:pPr>
              <w:pStyle w:val="17"/>
              <w:spacing w:line="500" w:lineRule="exact"/>
              <w:jc w:val="both"/>
              <w:rPr>
                <w:rFonts w:ascii="仿宋_GB2312" w:eastAsia="仿宋_GB2312"/>
                <w:sz w:val="28"/>
                <w:szCs w:val="28"/>
              </w:rPr>
            </w:pPr>
            <w:r>
              <w:rPr>
                <w:rFonts w:hint="eastAsia" w:ascii="仿宋_GB2312" w:eastAsia="仿宋_GB2312"/>
                <w:sz w:val="28"/>
                <w:szCs w:val="28"/>
              </w:rPr>
              <w:t>数量</w:t>
            </w:r>
          </w:p>
        </w:tc>
        <w:tc>
          <w:tcPr>
            <w:tcW w:w="7259"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tcPr>
          <w:p>
            <w:pPr>
              <w:pStyle w:val="17"/>
              <w:spacing w:line="500" w:lineRule="exact"/>
              <w:jc w:val="both"/>
              <w:rPr>
                <w:rFonts w:asciiTheme="minorEastAsia" w:hAnsiTheme="minorEastAsia" w:eastAsiaTheme="minorEastAsia"/>
                <w:sz w:val="28"/>
                <w:szCs w:val="28"/>
              </w:rPr>
            </w:pPr>
            <w:r>
              <w:rPr>
                <w:rFonts w:hint="eastAsia" w:asciiTheme="minorEastAsia" w:hAnsiTheme="minorEastAsia" w:eastAsiaTheme="minor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3" w:hRule="atLeast"/>
        </w:trPr>
        <w:tc>
          <w:tcPr>
            <w:tcW w:w="1166" w:type="dxa"/>
            <w:tcBorders>
              <w:top w:val="single" w:color="auto" w:sz="4" w:space="0"/>
              <w:left w:val="single" w:color="auto" w:sz="4" w:space="0"/>
              <w:right w:val="single" w:color="auto" w:sz="4" w:space="0"/>
            </w:tcBorders>
            <w:tcMar>
              <w:top w:w="13" w:type="dxa"/>
              <w:left w:w="13" w:type="dxa"/>
              <w:bottom w:w="0" w:type="dxa"/>
              <w:right w:w="13" w:type="dxa"/>
            </w:tcMar>
            <w:vAlign w:val="center"/>
          </w:tcPr>
          <w:p>
            <w:pPr>
              <w:pStyle w:val="17"/>
              <w:spacing w:line="500" w:lineRule="exact"/>
              <w:jc w:val="both"/>
              <w:rPr>
                <w:rFonts w:ascii="仿宋_GB2312" w:hAnsi="宋体" w:eastAsia="仿宋_GB2312" w:cs="宋体"/>
                <w:sz w:val="28"/>
                <w:szCs w:val="28"/>
              </w:rPr>
            </w:pPr>
            <w:r>
              <w:rPr>
                <w:rFonts w:hint="eastAsia" w:ascii="仿宋_GB2312" w:hAnsi="宋体" w:eastAsia="仿宋_GB2312" w:cs="宋体"/>
                <w:sz w:val="28"/>
                <w:szCs w:val="28"/>
              </w:rPr>
              <w:t>功能要求</w:t>
            </w:r>
          </w:p>
        </w:tc>
        <w:tc>
          <w:tcPr>
            <w:tcW w:w="7259" w:type="dxa"/>
            <w:tcBorders>
              <w:top w:val="single" w:color="auto" w:sz="4" w:space="0"/>
              <w:left w:val="single" w:color="auto" w:sz="4" w:space="0"/>
              <w:right w:val="single" w:color="auto" w:sz="4" w:space="0"/>
            </w:tcBorders>
            <w:tcMar>
              <w:top w:w="13" w:type="dxa"/>
              <w:left w:w="13" w:type="dxa"/>
              <w:bottom w:w="0" w:type="dxa"/>
              <w:right w:w="13" w:type="dxa"/>
            </w:tcMar>
          </w:tcPr>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提供的所有电子图书具有国家规范的元数据信息，如书名、ISBN号、作者、出版社等信息。</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提供的所有电子图书格式必须为无损压缩，清晰度</w:t>
            </w:r>
            <w:r>
              <w:rPr>
                <w:rFonts w:cs="宋体" w:asciiTheme="minorEastAsia" w:hAnsiTheme="minorEastAsia" w:eastAsiaTheme="minorEastAsia"/>
                <w:sz w:val="28"/>
                <w:szCs w:val="28"/>
              </w:rPr>
              <w:t>高，</w:t>
            </w:r>
            <w:r>
              <w:rPr>
                <w:rFonts w:hint="eastAsia" w:cs="宋体" w:asciiTheme="minorEastAsia" w:hAnsiTheme="minorEastAsia" w:eastAsiaTheme="minorEastAsia"/>
                <w:sz w:val="28"/>
                <w:szCs w:val="28"/>
              </w:rPr>
              <w:t>可全文解析。</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提供的所有电子图书能够实现全文在线阅读、全文下载、打印、复制等功能。</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提供的所有电子图书必须保持纸书原有的版式和原貌、保留原纸质媒体的全部信息。</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内容涵盖全面，覆盖中图分类法所有大类，提供</w:t>
            </w:r>
            <w:r>
              <w:rPr>
                <w:rFonts w:cs="宋体" w:asciiTheme="minorEastAsia" w:hAnsiTheme="minorEastAsia" w:eastAsiaTheme="minorEastAsia"/>
                <w:sz w:val="28"/>
                <w:szCs w:val="28"/>
              </w:rPr>
              <w:t>不低于</w:t>
            </w:r>
            <w:r>
              <w:rPr>
                <w:rFonts w:hint="eastAsia" w:cs="宋体" w:asciiTheme="minorEastAsia" w:hAnsiTheme="minorEastAsia" w:eastAsiaTheme="minorEastAsia"/>
                <w:sz w:val="28"/>
                <w:szCs w:val="28"/>
              </w:rPr>
              <w:t>100万种</w:t>
            </w:r>
            <w:r>
              <w:rPr>
                <w:rFonts w:cs="宋体" w:asciiTheme="minorEastAsia" w:hAnsiTheme="minorEastAsia" w:eastAsiaTheme="minorEastAsia"/>
                <w:sz w:val="28"/>
                <w:szCs w:val="28"/>
              </w:rPr>
              <w:t>图书，</w:t>
            </w:r>
            <w:r>
              <w:rPr>
                <w:rFonts w:hint="eastAsia" w:cs="宋体" w:asciiTheme="minorEastAsia" w:hAnsiTheme="minorEastAsia" w:eastAsiaTheme="minorEastAsia"/>
                <w:sz w:val="28"/>
                <w:szCs w:val="28"/>
              </w:rPr>
              <w:t>能够满足我校教学和科研要求。</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所有电子图书在线阅读时无并发数限制，并能够与图书馆相应纸本书目挂接，能保证我校所有读者正常使用。</w:t>
            </w:r>
          </w:p>
          <w:p>
            <w:pPr>
              <w:pStyle w:val="17"/>
              <w:numPr>
                <w:ilvl w:val="0"/>
                <w:numId w:val="3"/>
              </w:numPr>
              <w:spacing w:line="500" w:lineRule="exact"/>
              <w:jc w:val="both"/>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本文所述技术要求，应视为保证涉及系统运行所需的最低要求，如有遗漏，投标人应予以补充。否则，一旦中标将认为投标人认同遗漏部分并免费提供。</w:t>
            </w:r>
          </w:p>
        </w:tc>
      </w:tr>
    </w:tbl>
    <w:p>
      <w:pPr>
        <w:numPr>
          <w:ilvl w:val="0"/>
          <w:numId w:val="0"/>
        </w:numPr>
        <w:rPr>
          <w:rFonts w:hint="eastAsia"/>
          <w:lang w:eastAsia="zh-CN"/>
        </w:rPr>
      </w:pPr>
    </w:p>
    <w:p>
      <w:pPr>
        <w:numPr>
          <w:ilvl w:val="0"/>
          <w:numId w:val="4"/>
        </w:numPr>
        <w:rPr>
          <w:rFonts w:hint="eastAsia"/>
          <w:b/>
          <w:bCs/>
          <w:sz w:val="28"/>
          <w:szCs w:val="28"/>
          <w:lang w:eastAsia="zh-CN"/>
        </w:rPr>
      </w:pPr>
      <w:r>
        <w:rPr>
          <w:rFonts w:hint="eastAsia"/>
          <w:b/>
          <w:bCs/>
          <w:sz w:val="28"/>
          <w:szCs w:val="28"/>
          <w:lang w:eastAsia="zh-CN"/>
        </w:rPr>
        <w:t>其它要求</w:t>
      </w:r>
    </w:p>
    <w:p>
      <w:pPr>
        <w:pStyle w:val="17"/>
        <w:spacing w:line="500" w:lineRule="exact"/>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数据库服务及质保要求</w:t>
      </w:r>
    </w:p>
    <w:p>
      <w:pPr>
        <w:pStyle w:val="17"/>
        <w:spacing w:line="50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28"/>
          <w:szCs w:val="28"/>
        </w:rPr>
        <w:t>要求</w:t>
      </w:r>
      <w:r>
        <w:rPr>
          <w:rFonts w:asciiTheme="minorEastAsia" w:hAnsiTheme="minorEastAsia" w:eastAsiaTheme="minorEastAsia"/>
          <w:sz w:val="28"/>
          <w:szCs w:val="28"/>
        </w:rPr>
        <w:t>数据库</w:t>
      </w:r>
      <w:r>
        <w:rPr>
          <w:rFonts w:asciiTheme="minorEastAsia" w:hAnsiTheme="minorEastAsia" w:eastAsiaTheme="minorEastAsia"/>
          <w:color w:val="FF0066"/>
          <w:sz w:val="28"/>
          <w:szCs w:val="28"/>
          <w:shd w:val="clear" w:color="FFFFFF" w:fill="D9D9D9"/>
        </w:rPr>
        <w:t>质保</w:t>
      </w:r>
      <w:r>
        <w:rPr>
          <w:rFonts w:hint="eastAsia" w:asciiTheme="minorEastAsia" w:hAnsiTheme="minorEastAsia" w:eastAsiaTheme="minorEastAsia"/>
          <w:color w:val="FF0066"/>
          <w:sz w:val="28"/>
          <w:szCs w:val="28"/>
          <w:shd w:val="clear" w:color="FFFFFF" w:fill="D9D9D9"/>
        </w:rPr>
        <w:t>期</w:t>
      </w:r>
      <w:r>
        <w:rPr>
          <w:rFonts w:asciiTheme="minorEastAsia" w:hAnsiTheme="minorEastAsia" w:eastAsiaTheme="minorEastAsia"/>
          <w:color w:val="FF0066"/>
          <w:sz w:val="28"/>
          <w:szCs w:val="28"/>
          <w:shd w:val="clear" w:color="FFFFFF" w:fill="D9D9D9"/>
        </w:rPr>
        <w:t>为</w:t>
      </w:r>
      <w:r>
        <w:rPr>
          <w:rFonts w:hint="eastAsia" w:asciiTheme="minorEastAsia" w:hAnsiTheme="minorEastAsia" w:eastAsiaTheme="minorEastAsia"/>
          <w:color w:val="FF0066"/>
          <w:sz w:val="28"/>
          <w:szCs w:val="28"/>
          <w:u w:val="single"/>
          <w:shd w:val="clear" w:color="FFFFFF" w:fill="D9D9D9"/>
        </w:rPr>
        <w:t xml:space="preserve"> </w:t>
      </w:r>
      <w:r>
        <w:rPr>
          <w:rFonts w:hint="eastAsia" w:asciiTheme="minorEastAsia" w:hAnsiTheme="minorEastAsia" w:eastAsiaTheme="minorEastAsia"/>
          <w:color w:val="FF0066"/>
          <w:sz w:val="28"/>
          <w:szCs w:val="28"/>
          <w:u w:val="single"/>
          <w:shd w:val="clear" w:color="FFFFFF" w:fill="D9D9D9"/>
          <w:lang w:val="en-US" w:eastAsia="zh-CN"/>
        </w:rPr>
        <w:t>1</w:t>
      </w:r>
      <w:r>
        <w:rPr>
          <w:rFonts w:hint="eastAsia" w:asciiTheme="minorEastAsia" w:hAnsiTheme="minorEastAsia" w:eastAsiaTheme="minorEastAsia"/>
          <w:color w:val="FF0066"/>
          <w:sz w:val="28"/>
          <w:szCs w:val="28"/>
          <w:u w:val="single"/>
          <w:shd w:val="clear" w:color="FFFFFF" w:fill="D9D9D9"/>
        </w:rPr>
        <w:t xml:space="preserve"> </w:t>
      </w:r>
      <w:r>
        <w:rPr>
          <w:rFonts w:hint="eastAsia" w:asciiTheme="minorEastAsia" w:hAnsiTheme="minorEastAsia" w:eastAsiaTheme="minorEastAsia"/>
          <w:color w:val="FF0066"/>
          <w:sz w:val="28"/>
          <w:szCs w:val="28"/>
          <w:shd w:val="clear" w:color="FFFFFF" w:fill="D9D9D9"/>
        </w:rPr>
        <w:t>年</w:t>
      </w:r>
      <w:r>
        <w:rPr>
          <w:rFonts w:asciiTheme="minorEastAsia" w:hAnsiTheme="minorEastAsia" w:eastAsiaTheme="minorEastAsia"/>
          <w:sz w:val="24"/>
          <w:szCs w:val="24"/>
        </w:rPr>
        <w:t>，</w:t>
      </w:r>
      <w:r>
        <w:rPr>
          <w:rFonts w:hint="eastAsia" w:asciiTheme="minorEastAsia" w:hAnsiTheme="minorEastAsia" w:eastAsiaTheme="minorEastAsia"/>
          <w:sz w:val="28"/>
          <w:szCs w:val="28"/>
        </w:rPr>
        <w:t>保证对我校读者提供</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24小时在线不间断服务。能及时解决系统使用过程中发生的故障，故障响应时间不超过4小时，故障处理时间不超过24小时。</w:t>
      </w:r>
    </w:p>
    <w:p>
      <w:pPr>
        <w:pStyle w:val="17"/>
        <w:spacing w:line="500" w:lineRule="exact"/>
        <w:ind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中标单位提供开通、挂接、维护、升级工作和用户培训。</w:t>
      </w:r>
    </w:p>
    <w:p>
      <w:pPr>
        <w:pStyle w:val="17"/>
        <w:spacing w:line="500" w:lineRule="exact"/>
        <w:ind w:left="420" w:hanging="420" w:hangingChars="150"/>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产品的建议及相关要求</w:t>
      </w:r>
    </w:p>
    <w:p>
      <w:pPr>
        <w:pStyle w:val="17"/>
        <w:spacing w:line="500" w:lineRule="exact"/>
        <w:ind w:firstLine="420" w:firstLineChars="150"/>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1.</w:t>
      </w:r>
      <w:r>
        <w:rPr>
          <w:rFonts w:hint="eastAsia" w:asciiTheme="minorEastAsia" w:hAnsiTheme="minorEastAsia" w:eastAsiaTheme="minorEastAsia"/>
          <w:sz w:val="28"/>
          <w:szCs w:val="28"/>
        </w:rPr>
        <w:t>为充分保障整个项目的系统性、兼容性、科学性、安全性、扩充性和可靠性，供应商可以选择优于或等于以上建议（推荐）参数的产品投标。</w:t>
      </w:r>
    </w:p>
    <w:p>
      <w:pPr>
        <w:pStyle w:val="17"/>
        <w:spacing w:line="500" w:lineRule="exact"/>
        <w:ind w:firstLine="420" w:firstLineChars="150"/>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如投标人的投标方案中需增加其他辅助设备的，请根据实际情况增列。</w:t>
      </w:r>
    </w:p>
    <w:p>
      <w:pPr>
        <w:pStyle w:val="17"/>
        <w:spacing w:line="500" w:lineRule="exact"/>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（三）报价及其他要求：</w:t>
      </w:r>
    </w:p>
    <w:p>
      <w:pPr>
        <w:pStyle w:val="17"/>
        <w:spacing w:line="500" w:lineRule="exact"/>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b/>
      </w:r>
      <w:r>
        <w:rPr>
          <w:rFonts w:hint="eastAsia" w:asciiTheme="minorEastAsia" w:hAnsiTheme="minorEastAsia" w:eastAsiaTheme="minorEastAsia"/>
          <w:sz w:val="28"/>
          <w:szCs w:val="28"/>
          <w:lang w:val="en-US" w:eastAsia="zh-CN"/>
        </w:rPr>
        <w:t xml:space="preserve"> 1.投标人须完成的产品调试测试、人员培训和服务承诺等，费用均含在报价中。</w:t>
      </w:r>
    </w:p>
    <w:p>
      <w:pPr>
        <w:pStyle w:val="17"/>
        <w:spacing w:line="500" w:lineRule="exact"/>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2.请投标人认真测算，项目实施过程中所需的采购文件中未列出的相关辅助材料和其他一切费用应由供应商在报价时一并考虑。项目实施过程中不再单独结算。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jc w:val="left"/>
        <w:textAlignment w:val="auto"/>
        <w:outlineLvl w:val="9"/>
        <w:rPr>
          <w:rFonts w:hint="eastAsia" w:asciiTheme="minorEastAsia" w:hAnsiTheme="minorEastAsia" w:eastAsiaTheme="minorEastAsia"/>
          <w:color w:val="FF0066"/>
          <w:sz w:val="28"/>
          <w:szCs w:val="28"/>
          <w:shd w:val="clear" w:color="FFFFFF" w:fill="D9D9D9"/>
        </w:rPr>
      </w:pPr>
      <w:r>
        <w:rPr>
          <w:rFonts w:hint="eastAsia" w:asciiTheme="minorEastAsia" w:hAnsiTheme="minorEastAsia" w:eastAsiaTheme="minorEastAsia"/>
          <w:color w:val="FF0066"/>
          <w:sz w:val="28"/>
          <w:szCs w:val="28"/>
          <w:shd w:val="clear" w:color="FFFFFF" w:fill="D9D9D9"/>
          <w:lang w:val="en-US" w:eastAsia="zh-CN"/>
        </w:rPr>
        <w:t xml:space="preserve">   </w:t>
      </w:r>
      <w:r>
        <w:rPr>
          <w:rFonts w:hint="eastAsia" w:asciiTheme="minorEastAsia" w:hAnsiTheme="minorEastAsia" w:eastAsiaTheme="minorEastAsia"/>
          <w:color w:val="FF0066"/>
          <w:sz w:val="28"/>
          <w:szCs w:val="28"/>
          <w:shd w:val="clear" w:color="FFFFFF" w:fill="D9D9D9"/>
          <w:lang w:eastAsia="zh-CN"/>
        </w:rPr>
        <w:t>（四）交付期要求：</w:t>
      </w:r>
      <w:r>
        <w:rPr>
          <w:rFonts w:hint="eastAsia" w:asciiTheme="minorEastAsia" w:hAnsiTheme="minorEastAsia" w:eastAsiaTheme="minorEastAsia"/>
          <w:color w:val="FF0066"/>
          <w:sz w:val="28"/>
          <w:szCs w:val="28"/>
          <w:shd w:val="clear" w:color="FFFFFF" w:fill="D9D9D9"/>
        </w:rPr>
        <w:t>合同</w:t>
      </w:r>
      <w:r>
        <w:rPr>
          <w:rFonts w:asciiTheme="minorEastAsia" w:hAnsiTheme="minorEastAsia" w:eastAsiaTheme="minorEastAsia"/>
          <w:color w:val="FF0066"/>
          <w:sz w:val="28"/>
          <w:szCs w:val="28"/>
          <w:shd w:val="clear" w:color="FFFFFF" w:fill="D9D9D9"/>
        </w:rPr>
        <w:t>签订后</w:t>
      </w:r>
      <w:r>
        <w:rPr>
          <w:rFonts w:hint="eastAsia" w:asciiTheme="minorEastAsia" w:hAnsiTheme="minorEastAsia" w:eastAsiaTheme="minorEastAsia"/>
          <w:color w:val="FF0066"/>
          <w:sz w:val="28"/>
          <w:szCs w:val="28"/>
          <w:u w:val="single"/>
          <w:shd w:val="clear" w:color="FFFFFF" w:fill="D9D9D9"/>
        </w:rPr>
        <w:t xml:space="preserve"> </w:t>
      </w:r>
      <w:r>
        <w:rPr>
          <w:rFonts w:hint="eastAsia" w:asciiTheme="minorEastAsia" w:hAnsiTheme="minorEastAsia" w:eastAsiaTheme="minorEastAsia"/>
          <w:color w:val="FF0066"/>
          <w:sz w:val="28"/>
          <w:szCs w:val="28"/>
          <w:u w:val="single"/>
          <w:shd w:val="clear" w:color="FFFFFF" w:fill="D9D9D9"/>
          <w:lang w:val="en-US" w:eastAsia="zh-CN"/>
        </w:rPr>
        <w:t>7</w:t>
      </w:r>
      <w:r>
        <w:rPr>
          <w:rFonts w:hint="eastAsia" w:asciiTheme="minorEastAsia" w:hAnsiTheme="minorEastAsia" w:eastAsiaTheme="minorEastAsia"/>
          <w:color w:val="FF0066"/>
          <w:sz w:val="28"/>
          <w:szCs w:val="28"/>
          <w:u w:val="single"/>
          <w:shd w:val="clear" w:color="FFFFFF" w:fill="D9D9D9"/>
        </w:rPr>
        <w:t xml:space="preserve"> </w:t>
      </w:r>
      <w:r>
        <w:rPr>
          <w:rFonts w:hint="eastAsia" w:asciiTheme="minorEastAsia" w:hAnsiTheme="minorEastAsia" w:eastAsiaTheme="minorEastAsia"/>
          <w:color w:val="FF0066"/>
          <w:sz w:val="28"/>
          <w:szCs w:val="28"/>
          <w:shd w:val="clear" w:color="FFFFFF" w:fill="D9D9D9"/>
        </w:rPr>
        <w:t>日</w:t>
      </w:r>
      <w:r>
        <w:rPr>
          <w:rFonts w:asciiTheme="minorEastAsia" w:hAnsiTheme="minorEastAsia" w:eastAsiaTheme="minorEastAsia"/>
          <w:color w:val="FF0066"/>
          <w:sz w:val="28"/>
          <w:szCs w:val="28"/>
          <w:shd w:val="clear" w:color="FFFFFF" w:fill="D9D9D9"/>
        </w:rPr>
        <w:t>内</w:t>
      </w:r>
      <w:r>
        <w:rPr>
          <w:rFonts w:hint="eastAsia" w:asciiTheme="minorEastAsia" w:hAnsiTheme="minorEastAsia" w:eastAsiaTheme="minorEastAsia"/>
          <w:color w:val="FF0066"/>
          <w:sz w:val="28"/>
          <w:szCs w:val="28"/>
          <w:shd w:val="clear" w:color="FFFFFF" w:fill="D9D9D9"/>
        </w:rPr>
        <w:t>安装</w:t>
      </w:r>
      <w:r>
        <w:rPr>
          <w:rFonts w:asciiTheme="minorEastAsia" w:hAnsiTheme="minorEastAsia" w:eastAsiaTheme="minorEastAsia"/>
          <w:color w:val="FF0066"/>
          <w:sz w:val="28"/>
          <w:szCs w:val="28"/>
          <w:shd w:val="clear" w:color="FFFFFF" w:fill="D9D9D9"/>
        </w:rPr>
        <w:t>调试并经验收交付采购人</w:t>
      </w:r>
      <w:r>
        <w:rPr>
          <w:rFonts w:hint="eastAsia" w:asciiTheme="minorEastAsia" w:hAnsiTheme="minorEastAsia" w:eastAsiaTheme="minorEastAsia"/>
          <w:color w:val="FF0066"/>
          <w:sz w:val="28"/>
          <w:szCs w:val="28"/>
          <w:shd w:val="clear" w:color="FFFFFF" w:fill="D9D9D9"/>
          <w:lang w:eastAsia="zh-CN"/>
        </w:rPr>
        <w:t>。</w:t>
      </w:r>
    </w:p>
    <w:p>
      <w:pPr>
        <w:numPr>
          <w:ilvl w:val="0"/>
          <w:numId w:val="0"/>
        </w:numPr>
        <w:rPr>
          <w:rFonts w:hint="eastAsia"/>
          <w:b w:val="0"/>
          <w:bCs w:val="0"/>
          <w:sz w:val="28"/>
          <w:szCs w:val="28"/>
          <w:lang w:val="en-US" w:eastAsia="zh-CN"/>
        </w:rPr>
      </w:pPr>
      <w:r>
        <w:rPr>
          <w:rFonts w:hint="eastAsia"/>
          <w:b w:val="0"/>
          <w:bCs w:val="0"/>
          <w:sz w:val="28"/>
          <w:szCs w:val="28"/>
          <w:lang w:val="en-US" w:eastAsia="zh-CN"/>
        </w:rPr>
        <w:t xml:space="preserve">      </w:t>
      </w: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numPr>
          <w:ilvl w:val="0"/>
          <w:numId w:val="0"/>
        </w:numPr>
        <w:rPr>
          <w:rFonts w:hint="eastAsia"/>
          <w:b w:val="0"/>
          <w:bCs w:val="0"/>
          <w:sz w:val="28"/>
          <w:szCs w:val="28"/>
          <w:lang w:val="en-US" w:eastAsia="zh-CN"/>
        </w:rPr>
      </w:pPr>
    </w:p>
    <w:p>
      <w:pPr>
        <w:rPr>
          <w:rFonts w:hint="eastAsia" w:hAnsi="宋体"/>
        </w:rPr>
      </w:pPr>
    </w:p>
    <w:p>
      <w:pPr>
        <w:pStyle w:val="2"/>
        <w:spacing w:line="360" w:lineRule="auto"/>
        <w:jc w:val="both"/>
        <w:rPr>
          <w:rFonts w:hAnsi="宋体"/>
        </w:rPr>
      </w:pPr>
      <w:r>
        <w:rPr>
          <w:rFonts w:hint="eastAsia" w:hAnsi="宋体"/>
          <w:lang w:val="en-US" w:eastAsia="zh-CN"/>
        </w:rPr>
        <w:t xml:space="preserve">         </w:t>
      </w:r>
      <w:r>
        <w:rPr>
          <w:rFonts w:hint="eastAsia" w:hAnsi="宋体"/>
        </w:rPr>
        <w:t>第三章 合同条款</w:t>
      </w:r>
    </w:p>
    <w:p>
      <w:pPr>
        <w:snapToGrid w:val="0"/>
        <w:spacing w:line="360" w:lineRule="auto"/>
        <w:ind w:right="840" w:firstLine="480" w:firstLineChars="200"/>
        <w:rPr>
          <w:rFonts w:asciiTheme="minorEastAsia" w:hAnsiTheme="minorEastAsia"/>
          <w:bCs/>
          <w:sz w:val="24"/>
          <w:szCs w:val="24"/>
        </w:rPr>
      </w:pPr>
      <w:r>
        <w:rPr>
          <w:rFonts w:hint="eastAsia" w:asciiTheme="minorEastAsia" w:hAnsiTheme="minorEastAsia"/>
          <w:bCs/>
          <w:sz w:val="24"/>
          <w:szCs w:val="24"/>
        </w:rPr>
        <w:t>合同编号：</w:t>
      </w:r>
    </w:p>
    <w:p>
      <w:pPr>
        <w:snapToGri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买方：南京审计大学（以下称“甲方”）</w:t>
      </w:r>
    </w:p>
    <w:p>
      <w:pPr>
        <w:snapToGri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卖方：             （以下称“乙方”）</w:t>
      </w:r>
    </w:p>
    <w:p>
      <w:pPr>
        <w:spacing w:line="360" w:lineRule="auto"/>
        <w:ind w:firstLine="480" w:firstLineChars="200"/>
        <w:rPr>
          <w:rFonts w:cs="宋体" w:asciiTheme="minorEastAsia" w:hAnsiTheme="minorEastAsia"/>
          <w:sz w:val="24"/>
          <w:szCs w:val="24"/>
        </w:rPr>
      </w:pP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甲乙双方经友好协商，甲方向乙方购买“</w:t>
      </w:r>
      <w:r>
        <w:rPr>
          <w:rFonts w:hint="eastAsia" w:hAnsi="宋体" w:eastAsia="宋体"/>
          <w:sz w:val="24"/>
          <w:szCs w:val="24"/>
          <w:u w:val="single"/>
          <w:lang w:eastAsia="zh-CN"/>
        </w:rPr>
        <w:t>电子</w:t>
      </w:r>
      <w:r>
        <w:rPr>
          <w:rFonts w:hint="eastAsia" w:hAnsi="宋体"/>
          <w:sz w:val="24"/>
          <w:szCs w:val="24"/>
          <w:u w:val="single"/>
          <w:lang w:eastAsia="zh-CN"/>
        </w:rPr>
        <w:t>图</w:t>
      </w:r>
      <w:r>
        <w:rPr>
          <w:rFonts w:hint="eastAsia" w:hAnsi="宋体" w:eastAsia="宋体"/>
          <w:sz w:val="24"/>
          <w:szCs w:val="24"/>
          <w:u w:val="single"/>
          <w:lang w:eastAsia="zh-CN"/>
        </w:rPr>
        <w:t>书（远程包库）</w:t>
      </w:r>
      <w:r>
        <w:rPr>
          <w:rFonts w:hint="eastAsia" w:cs="宋体" w:asciiTheme="minorEastAsia" w:hAnsiTheme="minorEastAsia"/>
          <w:color w:val="000000"/>
          <w:sz w:val="24"/>
          <w:szCs w:val="24"/>
        </w:rPr>
        <w:t>系统”并享有</w:t>
      </w:r>
      <w:bookmarkStart w:id="102" w:name="_GoBack"/>
      <w:r>
        <w:rPr>
          <w:rFonts w:hint="eastAsia" w:cs="宋体" w:asciiTheme="minorEastAsia" w:hAnsiTheme="minorEastAsia"/>
          <w:color w:val="000000"/>
          <w:sz w:val="28"/>
          <w:szCs w:val="28"/>
        </w:rPr>
        <w:t>乙方提供的服务</w:t>
      </w:r>
      <w:bookmarkEnd w:id="102"/>
      <w:r>
        <w:rPr>
          <w:rFonts w:hint="eastAsia" w:cs="宋体" w:asciiTheme="minorEastAsia" w:hAnsiTheme="minorEastAsia"/>
          <w:color w:val="000000"/>
          <w:sz w:val="24"/>
          <w:szCs w:val="24"/>
        </w:rPr>
        <w:t>，根据《中华人民共和国合同法》及其他法律法规签订本合同，并由双方同恪守。</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条款如下：</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一、合同标的</w:t>
      </w:r>
    </w:p>
    <w:tbl>
      <w:tblPr>
        <w:tblStyle w:val="4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2616"/>
        <w:gridCol w:w="1246"/>
        <w:gridCol w:w="1109"/>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r>
              <w:rPr>
                <w:rFonts w:hint="eastAsia"/>
              </w:rPr>
              <w:t>软件名称</w:t>
            </w:r>
          </w:p>
        </w:tc>
        <w:tc>
          <w:tcPr>
            <w:tcW w:w="2616" w:type="dxa"/>
            <w:vAlign w:val="center"/>
          </w:tcPr>
          <w:p>
            <w:pPr>
              <w:jc w:val="center"/>
            </w:pPr>
            <w:r>
              <w:rPr>
                <w:rFonts w:hint="eastAsia"/>
              </w:rPr>
              <w:t>简介</w:t>
            </w:r>
          </w:p>
        </w:tc>
        <w:tc>
          <w:tcPr>
            <w:tcW w:w="1246" w:type="dxa"/>
            <w:vAlign w:val="center"/>
          </w:tcPr>
          <w:p>
            <w:pPr>
              <w:jc w:val="center"/>
            </w:pPr>
            <w:r>
              <w:rPr>
                <w:rFonts w:hint="eastAsia"/>
              </w:rPr>
              <w:t>数量</w:t>
            </w:r>
          </w:p>
        </w:tc>
        <w:tc>
          <w:tcPr>
            <w:tcW w:w="1109" w:type="dxa"/>
            <w:vAlign w:val="center"/>
          </w:tcPr>
          <w:p>
            <w:pPr>
              <w:jc w:val="center"/>
            </w:pPr>
            <w:r>
              <w:rPr>
                <w:rFonts w:hint="eastAsia"/>
              </w:rPr>
              <w:t>单价</w:t>
            </w:r>
          </w:p>
        </w:tc>
        <w:tc>
          <w:tcPr>
            <w:tcW w:w="1022" w:type="dxa"/>
            <w:vAlign w:val="center"/>
          </w:tcPr>
          <w:p>
            <w:pPr>
              <w:jc w:val="center"/>
            </w:pPr>
            <w:r>
              <w:rPr>
                <w:rFonts w:hint="eastAsi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p>
        </w:tc>
        <w:tc>
          <w:tcPr>
            <w:tcW w:w="2616" w:type="dxa"/>
            <w:vAlign w:val="center"/>
          </w:tcPr>
          <w:p>
            <w:pPr>
              <w:jc w:val="center"/>
            </w:pPr>
          </w:p>
        </w:tc>
        <w:tc>
          <w:tcPr>
            <w:tcW w:w="1246" w:type="dxa"/>
            <w:vAlign w:val="center"/>
          </w:tcPr>
          <w:p>
            <w:pPr>
              <w:jc w:val="center"/>
            </w:pPr>
          </w:p>
        </w:tc>
        <w:tc>
          <w:tcPr>
            <w:tcW w:w="1109" w:type="dxa"/>
            <w:vAlign w:val="center"/>
          </w:tcPr>
          <w:p>
            <w:pPr>
              <w:jc w:val="center"/>
            </w:pPr>
          </w:p>
        </w:tc>
        <w:tc>
          <w:tcPr>
            <w:tcW w:w="102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p>
        </w:tc>
        <w:tc>
          <w:tcPr>
            <w:tcW w:w="2616" w:type="dxa"/>
            <w:vAlign w:val="center"/>
          </w:tcPr>
          <w:p>
            <w:pPr>
              <w:jc w:val="center"/>
            </w:pPr>
          </w:p>
        </w:tc>
        <w:tc>
          <w:tcPr>
            <w:tcW w:w="1246" w:type="dxa"/>
            <w:vAlign w:val="center"/>
          </w:tcPr>
          <w:p>
            <w:pPr>
              <w:jc w:val="center"/>
            </w:pPr>
          </w:p>
        </w:tc>
        <w:tc>
          <w:tcPr>
            <w:tcW w:w="1109" w:type="dxa"/>
            <w:vAlign w:val="center"/>
          </w:tcPr>
          <w:p>
            <w:pPr>
              <w:jc w:val="center"/>
            </w:pPr>
          </w:p>
        </w:tc>
        <w:tc>
          <w:tcPr>
            <w:tcW w:w="102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02" w:type="dxa"/>
            <w:gridSpan w:val="5"/>
            <w:vAlign w:val="center"/>
          </w:tcPr>
          <w:p>
            <w:pPr>
              <w:jc w:val="center"/>
            </w:pPr>
            <w:r>
              <w:rPr>
                <w:rFonts w:hint="eastAsia"/>
              </w:rPr>
              <w:t>合计（含税）：              元（人民币大写：                 元整）</w:t>
            </w:r>
          </w:p>
        </w:tc>
      </w:tr>
    </w:tbl>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二、质量保障</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2.1 </w:t>
      </w:r>
      <w:r>
        <w:rPr>
          <w:rFonts w:hint="eastAsia" w:cs="宋体" w:asciiTheme="minorEastAsia" w:hAnsiTheme="minorEastAsia"/>
          <w:color w:val="000000"/>
          <w:sz w:val="24"/>
          <w:szCs w:val="24"/>
        </w:rPr>
        <w:t>产品质量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乙方保证：向甲方销售的软件产品功能与甲方要求及本产品相关的文字说明材料完全符合。</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2.2 </w:t>
      </w:r>
      <w:r>
        <w:rPr>
          <w:rFonts w:hint="eastAsia" w:cs="宋体" w:asciiTheme="minorEastAsia" w:hAnsiTheme="minorEastAsia"/>
          <w:color w:val="000000"/>
          <w:sz w:val="24"/>
          <w:szCs w:val="24"/>
        </w:rPr>
        <w:t>服务质量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乙方保证：向甲方所提供完全按照本合同</w:t>
      </w:r>
      <w:r>
        <w:rPr>
          <w:rFonts w:hint="eastAsia" w:cs="宋体" w:asciiTheme="minorEastAsia" w:hAnsiTheme="minorEastAsia"/>
          <w:color w:val="000000"/>
          <w:sz w:val="24"/>
          <w:szCs w:val="24"/>
          <w:lang w:eastAsia="zh-CN"/>
        </w:rPr>
        <w:t>及相关组成文件</w:t>
      </w:r>
      <w:r>
        <w:rPr>
          <w:rFonts w:hint="eastAsia" w:cs="宋体" w:asciiTheme="minorEastAsia" w:hAnsiTheme="minorEastAsia"/>
          <w:color w:val="000000"/>
          <w:sz w:val="24"/>
          <w:szCs w:val="24"/>
        </w:rPr>
        <w:t>规定提供优质及时的服务；并针对本项目出项目保修承诺函。</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三、合同价款</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3.1 </w:t>
      </w:r>
      <w:r>
        <w:rPr>
          <w:rFonts w:hint="eastAsia" w:cs="宋体" w:asciiTheme="minorEastAsia" w:hAnsiTheme="minorEastAsia"/>
          <w:color w:val="000000"/>
          <w:sz w:val="24"/>
          <w:szCs w:val="24"/>
        </w:rPr>
        <w:t>乙方所提供产品总价款为：￥</w:t>
      </w:r>
      <w:r>
        <w:rPr>
          <w:rFonts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元，即人民币（大写）</w:t>
      </w:r>
      <w:r>
        <w:rPr>
          <w:rFonts w:hint="eastAsia" w:cs="宋体" w:asciiTheme="minorEastAsia" w:hAnsiTheme="minorEastAsia"/>
          <w:color w:val="000000"/>
          <w:sz w:val="24"/>
          <w:szCs w:val="24"/>
          <w:u w:val="single"/>
        </w:rPr>
        <w:t xml:space="preserve"> </w:t>
      </w:r>
      <w:r>
        <w:rPr>
          <w:rFonts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元整，本合同价为含税价格。</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3.2 </w:t>
      </w:r>
      <w:r>
        <w:rPr>
          <w:rFonts w:hint="eastAsia" w:cs="宋体" w:asciiTheme="minorEastAsia" w:hAnsiTheme="minorEastAsia"/>
          <w:color w:val="000000"/>
          <w:sz w:val="24"/>
          <w:szCs w:val="24"/>
        </w:rPr>
        <w:t>包括在本合同</w:t>
      </w:r>
      <w:r>
        <w:rPr>
          <w:rFonts w:cs="宋体" w:asciiTheme="minorEastAsia" w:hAnsiTheme="minorEastAsia"/>
          <w:color w:val="000000"/>
          <w:sz w:val="24"/>
          <w:szCs w:val="24"/>
        </w:rPr>
        <w:t xml:space="preserve">3.1 </w:t>
      </w:r>
      <w:r>
        <w:rPr>
          <w:rFonts w:hint="eastAsia" w:cs="宋体" w:asciiTheme="minorEastAsia" w:hAnsiTheme="minorEastAsia"/>
          <w:color w:val="000000"/>
          <w:sz w:val="24"/>
          <w:szCs w:val="24"/>
        </w:rPr>
        <w:t>条的合同总价中的合同软件，乙方应承担将其运送到甲方所在地的运输费用,安装调试费等一切各项应有费用，甲方不再向乙方支付其他任何有关各项费用。</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四、付款方式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 xml:space="preserve">4.1 支付方式及时间： </w:t>
      </w:r>
    </w:p>
    <w:p>
      <w:pPr>
        <w:spacing w:line="360" w:lineRule="auto"/>
        <w:ind w:firstLine="600" w:firstLineChars="250"/>
        <w:rPr>
          <w:rFonts w:cs="宋体" w:asciiTheme="minorEastAsia" w:hAnsiTheme="minorEastAsia"/>
          <w:color w:val="000000"/>
          <w:sz w:val="24"/>
          <w:szCs w:val="24"/>
        </w:rPr>
      </w:pPr>
      <w:r>
        <w:rPr>
          <w:rFonts w:hint="eastAsia" w:cs="宋体" w:asciiTheme="minorEastAsia" w:hAnsiTheme="minorEastAsia"/>
          <w:color w:val="000000"/>
          <w:sz w:val="24"/>
          <w:szCs w:val="24"/>
        </w:rPr>
        <w:t>4</w:t>
      </w:r>
      <w:r>
        <w:rPr>
          <w:rFonts w:cs="宋体" w:asciiTheme="minorEastAsia" w:hAnsiTheme="minorEastAsia"/>
          <w:color w:val="000000"/>
          <w:sz w:val="24"/>
          <w:szCs w:val="24"/>
        </w:rPr>
        <w:t>.1.1</w:t>
      </w:r>
      <w:r>
        <w:rPr>
          <w:rFonts w:hint="eastAsia" w:cs="宋体" w:asciiTheme="minorEastAsia" w:hAnsiTheme="minorEastAsia"/>
          <w:color w:val="000000"/>
          <w:sz w:val="24"/>
          <w:szCs w:val="24"/>
        </w:rPr>
        <w:t>本合同签订之日起【</w:t>
      </w:r>
      <w:r>
        <w:rPr>
          <w:rFonts w:cs="宋体" w:asciiTheme="minorEastAsia" w:hAnsiTheme="minorEastAsia"/>
          <w:color w:val="000000"/>
          <w:sz w:val="24"/>
          <w:szCs w:val="24"/>
        </w:rPr>
        <w:t>5</w:t>
      </w:r>
      <w:r>
        <w:rPr>
          <w:rFonts w:hint="eastAsia" w:cs="宋体" w:asciiTheme="minorEastAsia" w:hAnsiTheme="minorEastAsia"/>
          <w:color w:val="000000"/>
          <w:sz w:val="24"/>
          <w:szCs w:val="24"/>
        </w:rPr>
        <w:t>】个工作日内，乙方向甲方支付合同总价款的【</w:t>
      </w:r>
      <w:r>
        <w:rPr>
          <w:rFonts w:cs="宋体" w:asciiTheme="minorEastAsia" w:hAnsiTheme="minorEastAsia"/>
          <w:color w:val="000000"/>
          <w:sz w:val="24"/>
          <w:szCs w:val="24"/>
        </w:rPr>
        <w:t>5</w:t>
      </w:r>
      <w:r>
        <w:rPr>
          <w:rFonts w:hint="eastAsia" w:cs="宋体" w:asciiTheme="minorEastAsia" w:hAnsiTheme="minorEastAsia"/>
          <w:color w:val="000000"/>
          <w:sz w:val="24"/>
          <w:szCs w:val="24"/>
        </w:rPr>
        <w:t>】 %作为</w:t>
      </w:r>
      <w:r>
        <w:rPr>
          <w:rFonts w:cs="宋体" w:asciiTheme="minorEastAsia" w:hAnsiTheme="minorEastAsia"/>
          <w:color w:val="000000"/>
          <w:sz w:val="24"/>
          <w:szCs w:val="24"/>
        </w:rPr>
        <w:t>质保金</w:t>
      </w:r>
      <w:r>
        <w:rPr>
          <w:rFonts w:hint="eastAsia" w:cs="宋体" w:asciiTheme="minorEastAsia" w:hAnsiTheme="minorEastAsia"/>
          <w:color w:val="000000"/>
          <w:sz w:val="24"/>
          <w:szCs w:val="24"/>
        </w:rPr>
        <w:t>，即￥        元（人民币大写：                    ），</w:t>
      </w:r>
      <w:r>
        <w:rPr>
          <w:rFonts w:cs="宋体" w:asciiTheme="minorEastAsia" w:hAnsiTheme="minorEastAsia"/>
          <w:color w:val="000000"/>
          <w:sz w:val="24"/>
          <w:szCs w:val="24"/>
        </w:rPr>
        <w:t>在软件最终验收合格之日起满</w:t>
      </w:r>
      <w:r>
        <w:rPr>
          <w:rFonts w:hint="eastAsia"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年</w:t>
      </w:r>
      <w:r>
        <w:rPr>
          <w:rFonts w:cs="宋体" w:asciiTheme="minorEastAsia" w:hAnsiTheme="minorEastAsia"/>
          <w:color w:val="000000"/>
          <w:sz w:val="24"/>
          <w:szCs w:val="24"/>
        </w:rPr>
        <w:t>且无任何争议后，甲方向乙方无息退还</w:t>
      </w:r>
      <w:r>
        <w:rPr>
          <w:rFonts w:hint="eastAsia" w:cs="宋体" w:asciiTheme="minorEastAsia" w:hAnsiTheme="minorEastAsia"/>
          <w:color w:val="000000"/>
          <w:sz w:val="24"/>
          <w:szCs w:val="24"/>
        </w:rPr>
        <w:t>。</w:t>
      </w:r>
    </w:p>
    <w:p>
      <w:pPr>
        <w:spacing w:line="360" w:lineRule="auto"/>
        <w:ind w:firstLine="600" w:firstLineChars="250"/>
        <w:rPr>
          <w:rFonts w:cs="宋体" w:asciiTheme="minorEastAsia" w:hAnsiTheme="minorEastAsia"/>
          <w:color w:val="000000"/>
          <w:sz w:val="24"/>
          <w:szCs w:val="24"/>
        </w:rPr>
      </w:pPr>
      <w:r>
        <w:rPr>
          <w:rFonts w:hint="eastAsia" w:cs="宋体" w:asciiTheme="minorEastAsia" w:hAnsiTheme="minorEastAsia"/>
          <w:color w:val="000000"/>
          <w:sz w:val="24"/>
          <w:szCs w:val="24"/>
        </w:rPr>
        <w:t>4</w:t>
      </w:r>
      <w:r>
        <w:rPr>
          <w:rFonts w:cs="宋体" w:asciiTheme="minorEastAsia" w:hAnsiTheme="minorEastAsia"/>
          <w:color w:val="000000"/>
          <w:sz w:val="24"/>
          <w:szCs w:val="24"/>
        </w:rPr>
        <w:t>.1.2</w:t>
      </w:r>
      <w:r>
        <w:rPr>
          <w:rFonts w:hint="eastAsia" w:cs="宋体" w:asciiTheme="minorEastAsia" w:hAnsiTheme="minorEastAsia"/>
          <w:color w:val="000000"/>
          <w:sz w:val="24"/>
          <w:szCs w:val="24"/>
        </w:rPr>
        <w:t>乙方交付软件，安装调试完毕并经甲方验收合格后【</w:t>
      </w:r>
      <w:r>
        <w:rPr>
          <w:rFonts w:cs="宋体" w:asciiTheme="minorEastAsia" w:hAnsiTheme="minorEastAsia"/>
          <w:color w:val="000000"/>
          <w:sz w:val="24"/>
          <w:szCs w:val="24"/>
        </w:rPr>
        <w:t>15</w:t>
      </w:r>
      <w:r>
        <w:rPr>
          <w:rFonts w:hint="eastAsia" w:cs="宋体" w:asciiTheme="minorEastAsia" w:hAnsiTheme="minorEastAsia"/>
          <w:color w:val="000000"/>
          <w:sz w:val="24"/>
          <w:szCs w:val="24"/>
        </w:rPr>
        <w:t>】个工作日内，甲方向乙方支付合同总价款的【</w:t>
      </w:r>
      <w:r>
        <w:rPr>
          <w:rFonts w:cs="宋体" w:asciiTheme="minorEastAsia" w:hAnsiTheme="minorEastAsia"/>
          <w:color w:val="000000"/>
          <w:sz w:val="24"/>
          <w:szCs w:val="24"/>
        </w:rPr>
        <w:t>100</w:t>
      </w:r>
      <w:r>
        <w:rPr>
          <w:rFonts w:hint="eastAsia" w:cs="宋体" w:asciiTheme="minorEastAsia" w:hAnsiTheme="minorEastAsia"/>
          <w:color w:val="000000"/>
          <w:sz w:val="24"/>
          <w:szCs w:val="24"/>
        </w:rPr>
        <w:t>】 %，即￥        元（人民币大写          ）</w:t>
      </w:r>
      <w:r>
        <w:rPr>
          <w:rFonts w:hint="eastAsia" w:cs="宋体" w:asciiTheme="minorEastAsia" w:hAnsiTheme="minorEastAsia"/>
          <w:color w:val="000000"/>
          <w:sz w:val="24"/>
          <w:szCs w:val="24"/>
          <w:lang w:eastAsia="zh-CN"/>
        </w:rPr>
        <w:t>。同时退还乙方履约保证金</w:t>
      </w:r>
      <w:r>
        <w:rPr>
          <w:rFonts w:hint="eastAsia" w:cs="宋体" w:asciiTheme="minorEastAsia" w:hAnsiTheme="minorEastAsia"/>
          <w:color w:val="000000"/>
          <w:sz w:val="24"/>
          <w:szCs w:val="24"/>
        </w:rPr>
        <w:t>。</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4.2 支付方式：√银行转账  □电汇  □银行承兑票据   □现金   □支票</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4.3 发票提供：乙方应在甲方每次付款前按甲方要求向甲方出具等额的发票。</w:t>
      </w:r>
    </w:p>
    <w:p>
      <w:pPr>
        <w:spacing w:line="360" w:lineRule="auto"/>
        <w:ind w:firstLine="480" w:firstLineChars="200"/>
        <w:rPr>
          <w:rFonts w:ascii="Times New Roman"/>
          <w:sz w:val="24"/>
          <w:szCs w:val="24"/>
        </w:rPr>
      </w:pPr>
      <w:r>
        <w:rPr>
          <w:rFonts w:hint="eastAsia" w:ascii="Times New Roman"/>
          <w:sz w:val="24"/>
          <w:szCs w:val="24"/>
        </w:rPr>
        <w:t>4.4乙方账户信息</w:t>
      </w:r>
      <w:r>
        <w:rPr>
          <w:rFonts w:hint="eastAsia"/>
          <w:sz w:val="24"/>
          <w:szCs w:val="24"/>
        </w:rPr>
        <w:t>：</w:t>
      </w:r>
    </w:p>
    <w:p>
      <w:pPr>
        <w:spacing w:line="360" w:lineRule="auto"/>
        <w:ind w:firstLine="480" w:firstLineChars="200"/>
        <w:rPr>
          <w:rFonts w:ascii="Times New Roman"/>
          <w:sz w:val="24"/>
          <w:szCs w:val="24"/>
        </w:rPr>
      </w:pPr>
      <w:r>
        <w:rPr>
          <w:rFonts w:hint="eastAsia" w:ascii="Times New Roman"/>
          <w:sz w:val="24"/>
          <w:szCs w:val="24"/>
        </w:rPr>
        <w:t>户名：</w:t>
      </w:r>
    </w:p>
    <w:p>
      <w:pPr>
        <w:spacing w:line="360" w:lineRule="auto"/>
        <w:ind w:firstLine="480" w:firstLineChars="200"/>
        <w:rPr>
          <w:rFonts w:ascii="Times New Roman"/>
          <w:sz w:val="24"/>
          <w:szCs w:val="24"/>
        </w:rPr>
      </w:pPr>
      <w:r>
        <w:rPr>
          <w:rFonts w:hint="eastAsia" w:ascii="Times New Roman"/>
          <w:sz w:val="24"/>
          <w:szCs w:val="24"/>
        </w:rPr>
        <w:t xml:space="preserve">开户行：            </w:t>
      </w:r>
    </w:p>
    <w:p>
      <w:pPr>
        <w:spacing w:line="360" w:lineRule="auto"/>
        <w:ind w:firstLine="480" w:firstLineChars="200"/>
        <w:rPr>
          <w:rFonts w:ascii="Times New Roman"/>
          <w:sz w:val="24"/>
          <w:szCs w:val="24"/>
        </w:rPr>
      </w:pPr>
      <w:r>
        <w:rPr>
          <w:rFonts w:hint="eastAsia" w:ascii="Times New Roman"/>
          <w:sz w:val="24"/>
          <w:szCs w:val="24"/>
        </w:rPr>
        <w:t>账号：</w:t>
      </w:r>
    </w:p>
    <w:p>
      <w:pPr>
        <w:spacing w:line="360" w:lineRule="auto"/>
        <w:ind w:firstLine="480" w:firstLineChars="200"/>
        <w:rPr>
          <w:rFonts w:ascii="Times New Roman"/>
          <w:sz w:val="24"/>
          <w:szCs w:val="24"/>
        </w:rPr>
      </w:pPr>
      <w:r>
        <w:rPr>
          <w:rFonts w:hint="eastAsia" w:ascii="Times New Roman"/>
          <w:sz w:val="24"/>
          <w:szCs w:val="24"/>
        </w:rPr>
        <w:t>行号：</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五、产品的交付</w:t>
      </w:r>
    </w:p>
    <w:p>
      <w:pPr>
        <w:spacing w:line="360" w:lineRule="auto"/>
        <w:ind w:firstLine="482" w:firstLineChars="200"/>
        <w:rPr>
          <w:rFonts w:hint="eastAsia" w:cs="宋体" w:asciiTheme="minorEastAsia" w:hAnsiTheme="minorEastAsia"/>
          <w:color w:val="000000"/>
          <w:sz w:val="24"/>
          <w:szCs w:val="24"/>
          <w:lang w:eastAsia="zh-CN"/>
        </w:rPr>
      </w:pPr>
      <w:r>
        <w:rPr>
          <w:rFonts w:hint="eastAsia" w:cs="宋体" w:asciiTheme="minorEastAsia" w:hAnsiTheme="minorEastAsia"/>
          <w:color w:val="000000"/>
          <w:sz w:val="24"/>
          <w:szCs w:val="24"/>
          <w:lang w:eastAsia="zh-CN"/>
        </w:rPr>
        <w:t>合同签订后日</w:t>
      </w:r>
      <w:r>
        <w:rPr>
          <w:rFonts w:hint="eastAsia" w:cs="宋体" w:asciiTheme="minorEastAsia" w:hAnsiTheme="minorEastAsia"/>
          <w:color w:val="000000"/>
          <w:sz w:val="24"/>
          <w:szCs w:val="24"/>
          <w:u w:val="single"/>
          <w:lang w:val="en-US" w:eastAsia="zh-CN"/>
        </w:rPr>
        <w:t xml:space="preserve"> 7 </w:t>
      </w:r>
      <w:r>
        <w:rPr>
          <w:rFonts w:hint="eastAsia" w:cs="宋体" w:asciiTheme="minorEastAsia" w:hAnsiTheme="minorEastAsia"/>
          <w:color w:val="000000"/>
          <w:sz w:val="24"/>
          <w:szCs w:val="24"/>
          <w:lang w:eastAsia="zh-CN"/>
        </w:rPr>
        <w:t>内安装调试并经验收交付甲方。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六、安装调试</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乙方负责产品的安装、调试服务。乙方将委派经验丰富的认证技术服务工程师，现场完成甲方购买产品的安装调试工作，并确保该产品的安装和运行合格。</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七、软件培训</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乙方负责提供软件现场操作培训。乙方将派遣工程师现场培训，直至甲方工程师能独立完成相关操作及日常维护工作，具体软件培训日期由甲方指定并提前10天通知乙方。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八、验收标准及时间</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乙方为甲方提供软件产品并安装、调试后，经乙方提请，甲方应在五个工作日内组织验收，并填写乙方出具的验收报告。本软件产品验收标准以</w:t>
      </w:r>
      <w:r>
        <w:rPr>
          <w:rFonts w:hint="eastAsia" w:cs="宋体" w:asciiTheme="minorEastAsia" w:hAnsiTheme="minorEastAsia"/>
          <w:color w:val="000000"/>
          <w:sz w:val="24"/>
          <w:szCs w:val="24"/>
          <w:lang w:eastAsia="zh-CN"/>
        </w:rPr>
        <w:t>本合同及相关组成文件</w:t>
      </w:r>
      <w:r>
        <w:rPr>
          <w:rFonts w:hint="eastAsia" w:cs="宋体" w:asciiTheme="minorEastAsia" w:hAnsiTheme="minorEastAsia"/>
          <w:color w:val="000000"/>
          <w:sz w:val="24"/>
          <w:szCs w:val="24"/>
        </w:rPr>
        <w:t>为准。</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九、版权归属</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本软件之版权归乙方。甲方经由乙方授权使用本软件。</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十、服务项目</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10.1 </w:t>
      </w:r>
      <w:r>
        <w:rPr>
          <w:rFonts w:hint="eastAsia" w:cs="宋体" w:asciiTheme="minorEastAsia" w:hAnsiTheme="minorEastAsia"/>
          <w:color w:val="000000"/>
          <w:sz w:val="24"/>
          <w:szCs w:val="24"/>
          <w:lang w:eastAsia="zh-CN"/>
        </w:rPr>
        <w:t>乙方提供</w:t>
      </w:r>
      <w:r>
        <w:rPr>
          <w:rFonts w:hint="eastAsia" w:cs="宋体" w:asciiTheme="minorEastAsia" w:hAnsiTheme="minorEastAsia"/>
          <w:color w:val="000000"/>
          <w:sz w:val="24"/>
          <w:szCs w:val="24"/>
          <w:lang w:val="en-US" w:eastAsia="zh-CN"/>
        </w:rPr>
        <w:t>7*24小时不间断在线服务，能及时解决数据库使用过程中发生的故障，故障响应时间不超过4小时，故障处理时间不超过24小时。</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10.2 </w:t>
      </w:r>
      <w:r>
        <w:rPr>
          <w:rFonts w:hint="eastAsia" w:cs="宋体" w:asciiTheme="minorEastAsia" w:hAnsiTheme="minorEastAsia"/>
          <w:color w:val="000000"/>
          <w:sz w:val="24"/>
          <w:szCs w:val="24"/>
        </w:rPr>
        <w:t>在正常使用情况下，乙方对所提供的软件提供</w:t>
      </w:r>
      <w:r>
        <w:rPr>
          <w:rFonts w:hint="eastAsia"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u w:val="single"/>
          <w:lang w:val="en-US" w:eastAsia="zh-CN"/>
        </w:rPr>
        <w:t>1</w:t>
      </w:r>
      <w:r>
        <w:rPr>
          <w:rFonts w:hint="eastAsia"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年的免费售后服务。售后服务期自验收合格之日起计算（由于甲方原因不能验收或推迟验收，则保修期以软件实际交付甲方之日起）。</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10.3 </w:t>
      </w:r>
      <w:r>
        <w:rPr>
          <w:rFonts w:hint="eastAsia" w:cs="宋体" w:asciiTheme="minorEastAsia" w:hAnsiTheme="minorEastAsia"/>
          <w:color w:val="000000"/>
          <w:sz w:val="24"/>
          <w:szCs w:val="24"/>
        </w:rPr>
        <w:t>自验收之日起</w:t>
      </w:r>
      <w:r>
        <w:rPr>
          <w:rFonts w:hint="eastAsia"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u w:val="single"/>
          <w:lang w:val="en-US" w:eastAsia="zh-CN"/>
        </w:rPr>
        <w:t>1</w:t>
      </w:r>
      <w:r>
        <w:rPr>
          <w:rFonts w:hint="eastAsia"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年内，如遇软件升级，乙方免费提供升级支持。</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10.4 </w:t>
      </w:r>
      <w:r>
        <w:rPr>
          <w:rFonts w:hint="eastAsia" w:cs="宋体" w:asciiTheme="minorEastAsia" w:hAnsiTheme="minorEastAsia"/>
          <w:color w:val="000000"/>
          <w:sz w:val="24"/>
          <w:szCs w:val="24"/>
        </w:rPr>
        <w:t>乙方负责对甲方操作人员进行免费培训。</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十一、双方的责任和义务</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11.1 </w:t>
      </w:r>
      <w:r>
        <w:rPr>
          <w:rFonts w:hint="eastAsia" w:cs="宋体" w:asciiTheme="minorEastAsia" w:hAnsiTheme="minorEastAsia"/>
          <w:color w:val="000000"/>
          <w:sz w:val="24"/>
          <w:szCs w:val="24"/>
        </w:rPr>
        <w:t>甲方的责任和义务</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① 配合乙方准备好系统实施环境。</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② 按付款方式所列按期按时付清软件费用。</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③ 组织应用人员进行系统使用与验收工作。</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④ 甲方严格在软件许可下使用本软件，不可对产品进行解密或将产品交给他解密。</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11.2 </w:t>
      </w:r>
      <w:r>
        <w:rPr>
          <w:rFonts w:hint="eastAsia" w:cs="宋体" w:asciiTheme="minorEastAsia" w:hAnsiTheme="minorEastAsia"/>
          <w:color w:val="000000"/>
          <w:sz w:val="24"/>
          <w:szCs w:val="24"/>
        </w:rPr>
        <w:t>乙方的责任和义务</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① </w:t>
      </w:r>
      <w:r>
        <w:rPr>
          <w:rFonts w:hint="eastAsia" w:cs="宋体" w:asciiTheme="minorEastAsia" w:hAnsiTheme="minorEastAsia"/>
          <w:color w:val="000000"/>
          <w:sz w:val="24"/>
          <w:szCs w:val="24"/>
        </w:rPr>
        <w:t>按照以上服务内容进行优质及时服务。</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② </w:t>
      </w:r>
      <w:r>
        <w:rPr>
          <w:rFonts w:hint="eastAsia" w:cs="宋体" w:asciiTheme="minorEastAsia" w:hAnsiTheme="minorEastAsia"/>
          <w:color w:val="000000"/>
          <w:sz w:val="24"/>
          <w:szCs w:val="24"/>
        </w:rPr>
        <w:t>遵循相应职业道德对开发过程中涉及到甲方的有关数据机密进行严格保密。</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③ </w:t>
      </w:r>
      <w:r>
        <w:rPr>
          <w:rFonts w:hint="eastAsia" w:cs="宋体" w:asciiTheme="minorEastAsia" w:hAnsiTheme="minorEastAsia"/>
          <w:color w:val="000000"/>
          <w:sz w:val="24"/>
          <w:szCs w:val="24"/>
        </w:rPr>
        <w:t>甲方在购买上述产品后，如果通过任何方式发现存在软件</w:t>
      </w:r>
      <w:r>
        <w:rPr>
          <w:rFonts w:cs="宋体" w:asciiTheme="minorEastAsia" w:hAnsiTheme="minorEastAsia"/>
          <w:color w:val="000000"/>
          <w:sz w:val="24"/>
          <w:szCs w:val="24"/>
        </w:rPr>
        <w:t>BUG</w:t>
      </w:r>
      <w:r>
        <w:rPr>
          <w:rFonts w:hint="eastAsia" w:cs="宋体" w:asciiTheme="minorEastAsia" w:hAnsiTheme="minorEastAsia"/>
          <w:color w:val="000000"/>
          <w:sz w:val="24"/>
          <w:szCs w:val="24"/>
        </w:rPr>
        <w:t>，乙方负责免费更改。</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④ </w:t>
      </w:r>
      <w:r>
        <w:rPr>
          <w:rFonts w:hint="eastAsia" w:cs="宋体" w:asciiTheme="minorEastAsia" w:hAnsiTheme="minorEastAsia"/>
          <w:color w:val="000000"/>
          <w:sz w:val="24"/>
          <w:szCs w:val="24"/>
        </w:rPr>
        <w:t>为甲方提供软件使用培训。</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⑤ </w:t>
      </w:r>
      <w:r>
        <w:rPr>
          <w:rFonts w:hint="eastAsia" w:cs="宋体" w:asciiTheme="minorEastAsia" w:hAnsiTheme="minorEastAsia"/>
          <w:color w:val="000000"/>
          <w:sz w:val="24"/>
          <w:szCs w:val="24"/>
        </w:rPr>
        <w:t>接到甲方服务请求，在服务期，系统出现故障，将在规定时间内响应甲方，并根据实际情况进行远端解决或现场解决。</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⑥ </w:t>
      </w:r>
      <w:r>
        <w:rPr>
          <w:rFonts w:hint="eastAsia" w:cs="宋体" w:asciiTheme="minorEastAsia" w:hAnsiTheme="minorEastAsia"/>
          <w:color w:val="000000"/>
          <w:sz w:val="24"/>
          <w:szCs w:val="24"/>
        </w:rPr>
        <w:t>负责系统升级。</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⑦ </w:t>
      </w:r>
      <w:r>
        <w:rPr>
          <w:rFonts w:hint="eastAsia" w:cs="宋体" w:asciiTheme="minorEastAsia" w:hAnsiTheme="minorEastAsia"/>
          <w:color w:val="000000"/>
          <w:sz w:val="24"/>
          <w:szCs w:val="24"/>
        </w:rPr>
        <w:t>提供所有系统执行文件及软件产品配套包含的内容。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十二、保密条款</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 xml:space="preserve">12.1 </w:t>
      </w:r>
      <w:r>
        <w:rPr>
          <w:rFonts w:cs="宋体" w:asciiTheme="minorEastAsia" w:hAnsiTheme="minorEastAsia"/>
          <w:color w:val="000000"/>
          <w:sz w:val="24"/>
          <w:szCs w:val="24"/>
        </w:rPr>
        <w:t>甲方不得以任何方式侵犯该软件产品所涉</w:t>
      </w:r>
      <w:r>
        <w:fldChar w:fldCharType="begin"/>
      </w:r>
      <w:r>
        <w:instrText xml:space="preserve"> HYPERLINK "http://china.findlaw.cn/mdm/mdm_34.html" \t "_blank" </w:instrText>
      </w:r>
      <w:r>
        <w:fldChar w:fldCharType="separate"/>
      </w:r>
      <w:r>
        <w:rPr>
          <w:rFonts w:cs="宋体" w:asciiTheme="minorEastAsia" w:hAnsiTheme="minorEastAsia"/>
          <w:color w:val="000000"/>
          <w:sz w:val="24"/>
          <w:szCs w:val="24"/>
        </w:rPr>
        <w:t>知识产权</w:t>
      </w:r>
      <w:r>
        <w:rPr>
          <w:rFonts w:cs="宋体" w:asciiTheme="minorEastAsia" w:hAnsiTheme="minorEastAsia"/>
          <w:color w:val="000000"/>
          <w:sz w:val="24"/>
          <w:szCs w:val="24"/>
        </w:rPr>
        <w:fldChar w:fldCharType="end"/>
      </w:r>
      <w:r>
        <w:rPr>
          <w:rFonts w:cs="宋体" w:asciiTheme="minorEastAsia" w:hAnsiTheme="minorEastAsia"/>
          <w:color w:val="000000"/>
          <w:sz w:val="24"/>
          <w:szCs w:val="24"/>
        </w:rPr>
        <w:t>，不以任何形式对软件进行解密</w:t>
      </w:r>
      <w:r>
        <w:rPr>
          <w:rFonts w:hint="eastAsia" w:cs="宋体" w:asciiTheme="minorEastAsia" w:hAnsiTheme="minorEastAsia"/>
          <w:color w:val="000000"/>
          <w:sz w:val="24"/>
          <w:szCs w:val="24"/>
        </w:rPr>
        <w:t>，不在甲方以外的第三方做非法复制和扩散。</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 xml:space="preserve">12.2 </w:t>
      </w:r>
      <w:r>
        <w:rPr>
          <w:rFonts w:cs="宋体" w:asciiTheme="minorEastAsia" w:hAnsiTheme="minorEastAsia"/>
          <w:color w:val="000000"/>
          <w:sz w:val="24"/>
          <w:szCs w:val="24"/>
        </w:rPr>
        <w:t>乙方对在本</w:t>
      </w:r>
      <w:r>
        <w:fldChar w:fldCharType="begin"/>
      </w:r>
      <w:r>
        <w:instrText xml:space="preserve"> HYPERLINK "http://china.findlaw.cn/shuofa/shuofadetail/247.html" \t "_blank" </w:instrText>
      </w:r>
      <w:r>
        <w:fldChar w:fldCharType="separate"/>
      </w:r>
      <w:r>
        <w:rPr>
          <w:rFonts w:cs="宋体" w:asciiTheme="minorEastAsia" w:hAnsiTheme="minorEastAsia"/>
          <w:color w:val="000000"/>
          <w:sz w:val="24"/>
          <w:szCs w:val="24"/>
        </w:rPr>
        <w:t>合同签订</w:t>
      </w:r>
      <w:r>
        <w:rPr>
          <w:rFonts w:cs="宋体" w:asciiTheme="minorEastAsia" w:hAnsiTheme="minorEastAsia"/>
          <w:color w:val="000000"/>
          <w:sz w:val="24"/>
          <w:szCs w:val="24"/>
        </w:rPr>
        <w:fldChar w:fldCharType="end"/>
      </w:r>
      <w:r>
        <w:rPr>
          <w:rFonts w:cs="宋体" w:asciiTheme="minorEastAsia" w:hAnsiTheme="minorEastAsia"/>
          <w:color w:val="000000"/>
          <w:sz w:val="24"/>
          <w:szCs w:val="24"/>
        </w:rPr>
        <w:t>及履行过程中知悉的甲方的</w:t>
      </w:r>
      <w:r>
        <w:fldChar w:fldCharType="begin"/>
      </w:r>
      <w:r>
        <w:instrText xml:space="preserve"> HYPERLINK "http://china.findlaw.cn/laodongfa/shangyemimi/" \t "_blank" </w:instrText>
      </w:r>
      <w:r>
        <w:fldChar w:fldCharType="separate"/>
      </w:r>
      <w:r>
        <w:rPr>
          <w:rFonts w:hint="eastAsia" w:cs="宋体" w:asciiTheme="minorEastAsia" w:hAnsiTheme="minorEastAsia"/>
          <w:color w:val="000000"/>
          <w:sz w:val="24"/>
          <w:szCs w:val="24"/>
        </w:rPr>
        <w:t>相关</w:t>
      </w:r>
      <w:r>
        <w:rPr>
          <w:rFonts w:hint="eastAsia" w:cs="宋体" w:asciiTheme="minorEastAsia" w:hAnsiTheme="minorEastAsia"/>
          <w:color w:val="000000"/>
          <w:sz w:val="24"/>
          <w:szCs w:val="24"/>
        </w:rPr>
        <w:fldChar w:fldCharType="end"/>
      </w:r>
      <w:r>
        <w:rPr>
          <w:rFonts w:hint="eastAsia" w:cs="宋体" w:asciiTheme="minorEastAsia" w:hAnsiTheme="minorEastAsia"/>
          <w:color w:val="000000"/>
          <w:sz w:val="24"/>
          <w:szCs w:val="24"/>
        </w:rPr>
        <w:t>保密资料</w:t>
      </w:r>
      <w:r>
        <w:rPr>
          <w:rFonts w:cs="宋体" w:asciiTheme="minorEastAsia" w:hAnsiTheme="minorEastAsia"/>
          <w:color w:val="000000"/>
          <w:sz w:val="24"/>
          <w:szCs w:val="24"/>
        </w:rPr>
        <w:t>负责保密，</w:t>
      </w:r>
      <w:r>
        <w:rPr>
          <w:rFonts w:hint="eastAsia" w:cs="宋体" w:asciiTheme="minorEastAsia" w:hAnsiTheme="minorEastAsia"/>
          <w:color w:val="000000"/>
          <w:sz w:val="24"/>
          <w:szCs w:val="24"/>
        </w:rPr>
        <w:t>未经对方事先书面同意，</w:t>
      </w:r>
      <w:r>
        <w:rPr>
          <w:rFonts w:cs="宋体" w:asciiTheme="minorEastAsia" w:hAnsiTheme="minorEastAsia"/>
          <w:color w:val="000000"/>
          <w:sz w:val="24"/>
          <w:szCs w:val="24"/>
        </w:rPr>
        <w:t>不</w:t>
      </w:r>
      <w:r>
        <w:rPr>
          <w:rFonts w:hint="eastAsia" w:cs="宋体" w:asciiTheme="minorEastAsia" w:hAnsiTheme="minorEastAsia"/>
          <w:color w:val="000000"/>
          <w:sz w:val="24"/>
          <w:szCs w:val="24"/>
        </w:rPr>
        <w:t>得</w:t>
      </w:r>
      <w:r>
        <w:rPr>
          <w:rFonts w:cs="宋体" w:asciiTheme="minorEastAsia" w:hAnsiTheme="minorEastAsia"/>
          <w:color w:val="000000"/>
          <w:sz w:val="24"/>
          <w:szCs w:val="24"/>
        </w:rPr>
        <w:t>向任何第三方进行透露。</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12.3 本合同如有任何部分被视为无效或不可执行，均不影响保密条款的有效性</w:t>
      </w:r>
      <w:r>
        <w:rPr>
          <w:rFonts w:cs="宋体" w:asciiTheme="minorEastAsia" w:hAnsiTheme="minorEastAsia"/>
          <w:color w:val="000000"/>
          <w:sz w:val="24"/>
          <w:szCs w:val="24"/>
        </w:rPr>
        <w:t xml:space="preserve">。 </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12.4 保密责任</w:t>
      </w:r>
      <w:r>
        <w:rPr>
          <w:rFonts w:cs="宋体" w:asciiTheme="minorEastAsia" w:hAnsiTheme="minorEastAsia"/>
          <w:color w:val="000000"/>
          <w:sz w:val="24"/>
          <w:szCs w:val="24"/>
        </w:rPr>
        <w:t>在合同</w:t>
      </w:r>
      <w:r>
        <w:rPr>
          <w:rFonts w:hint="eastAsia" w:cs="宋体" w:asciiTheme="minorEastAsia" w:hAnsiTheme="minorEastAsia"/>
          <w:color w:val="000000"/>
          <w:sz w:val="24"/>
          <w:szCs w:val="24"/>
        </w:rPr>
        <w:t>终止</w:t>
      </w:r>
      <w:r>
        <w:rPr>
          <w:rFonts w:cs="宋体" w:asciiTheme="minorEastAsia" w:hAnsiTheme="minorEastAsia"/>
          <w:color w:val="000000"/>
          <w:sz w:val="24"/>
          <w:szCs w:val="24"/>
        </w:rPr>
        <w:t>后继续生效。</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十三、违约责任</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13.1 如乙方未按合同约定时间供应软件并安装调试完毕交付甲方，每逾期一日，乙方应向甲方支付合同总价款千分之一的违约金，甲方有权在合同价款中相应扣除；逾期超过10日，甲方有权解除本合同，乙方除应返还甲方已支付款项外，还应支付甲方相当于合同总价款20%的违约金，违约金不足以弥补甲方损失的，乙方仍需承担赔偿责任。</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13.2 如乙方提供软件质量不符合合同“2.1”条的描述，乙方应在收到甲方异议通知后5个工作日内完成更换合格软件。因此导致交付时间逾期，按照“13.1”条规定处理。</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13.3 如乙方提供的软件遭受其他任何第三人提出权利主张（含知识产权）和索赔的，乙方应在接到甲方通知后立即负责协调解决并承担相关费用和索赔。由此给甲方造成的损失，由乙方承担，其承担范围包括但不限于：赔偿费、律师费、仲裁费和与仲裁相关的费用。</w:t>
      </w:r>
      <w:r>
        <w:rPr>
          <w:rFonts w:hint="eastAsia"/>
          <w:sz w:val="24"/>
          <w:szCs w:val="24"/>
        </w:rPr>
        <w:t>确属乙方责任的，甲方有权解除合同，并要求乙方支付甲方相当于合同总价款30%的违约金。</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13.4 如乙方未按合同约定履行质保义务或者履行质保义务不合格，每发生一次，乙方应支付甲方相当于合同总价款千分之五。因此导致甲方遭受损失的，乙方应在接到甲方通知后3个工作日内赔偿甲方所遭受的全部损失。</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13.5 甲方逾期付款的，每逾期一天，按照当期逾期付款的万分之五向乙方支付违约金，此项违约金不得超过当期逾期金额的5%。</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13.6 针对任何一方的其他违约行为，违约方应在守约方通知后立即纠正，并赔偿因此导致守约方所遭受的经济损失。</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十四、不可抗力</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14.1 本合同任何一方因受到不可抗力时间影响而未能履行其在本合同下的全部或部分义务，该义务的履行在不可抗力时间妨碍其履行期间应予以中止。</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14.2 声称受到不可抗力事件影响的一方应尽可能在最短的时间内通过书面形式将不可抗力事件的发生通知另一方，并在该不可抗力事件发生后</w:t>
      </w:r>
      <w:r>
        <w:rPr>
          <w:rFonts w:hint="eastAsia" w:cs="宋体" w:asciiTheme="minorEastAsia" w:hAnsiTheme="minorEastAsia"/>
          <w:color w:val="000000"/>
          <w:sz w:val="24"/>
          <w:szCs w:val="24"/>
          <w:u w:val="single"/>
        </w:rPr>
        <w:t xml:space="preserve"> 20  </w:t>
      </w:r>
      <w:r>
        <w:rPr>
          <w:rFonts w:hint="eastAsia" w:cs="宋体" w:asciiTheme="minorEastAsia" w:hAnsiTheme="minorEastAsia"/>
          <w:color w:val="000000"/>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需为此承担责任。当事人延迟履行后发生不可抗力的，不能免除其责任。</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14.4 本合同所称“不可抗力”是指受影响一方无法预料、不可避免且无法克服，并于本合同签订日之后出现的，是该方对本合同全部或部分的履行在客观上称为不可能或不实际的任何事件。</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十五、争议解决方式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执行本合同过程中如果发生争议，甲乙双方协商解决。协商不成，提请甲方所在地法院诉讼解决。本合同以及相关争议的解释和解决依据中华人民共和国法律法规。</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十六、廉政条款</w:t>
      </w:r>
    </w:p>
    <w:p>
      <w:pPr>
        <w:spacing w:line="360" w:lineRule="auto"/>
        <w:ind w:firstLine="480" w:firstLineChars="200"/>
        <w:rPr>
          <w:bCs/>
          <w:sz w:val="24"/>
          <w:szCs w:val="24"/>
        </w:rPr>
      </w:pPr>
      <w:r>
        <w:rPr>
          <w:rFonts w:hint="eastAsia"/>
          <w:bCs/>
          <w:sz w:val="24"/>
          <w:szCs w:val="24"/>
        </w:rPr>
        <w:t>16.1 乙方</w:t>
      </w:r>
      <w:r>
        <w:rPr>
          <w:bCs/>
          <w:sz w:val="24"/>
          <w:szCs w:val="24"/>
        </w:rPr>
        <w:t>不得给予</w:t>
      </w:r>
      <w:r>
        <w:rPr>
          <w:rFonts w:hint="eastAsia"/>
          <w:bCs/>
          <w:sz w:val="24"/>
          <w:szCs w:val="24"/>
        </w:rPr>
        <w:t>甲方</w:t>
      </w:r>
      <w:r>
        <w:rPr>
          <w:bCs/>
          <w:sz w:val="24"/>
          <w:szCs w:val="24"/>
        </w:rPr>
        <w:t>相关工作人员回扣、佣金、有价证券、实物或其它形式的利益，否则不论数额大小，</w:t>
      </w:r>
      <w:r>
        <w:rPr>
          <w:rFonts w:hint="eastAsia"/>
          <w:bCs/>
          <w:sz w:val="24"/>
          <w:szCs w:val="24"/>
        </w:rPr>
        <w:t>乙方</w:t>
      </w:r>
      <w:r>
        <w:rPr>
          <w:bCs/>
          <w:sz w:val="24"/>
          <w:szCs w:val="24"/>
        </w:rPr>
        <w:t>应按本合同总额的20%向</w:t>
      </w:r>
      <w:r>
        <w:rPr>
          <w:rFonts w:hint="eastAsia"/>
          <w:bCs/>
          <w:sz w:val="24"/>
          <w:szCs w:val="24"/>
        </w:rPr>
        <w:t>甲方</w:t>
      </w:r>
      <w:r>
        <w:rPr>
          <w:bCs/>
          <w:sz w:val="24"/>
          <w:szCs w:val="24"/>
        </w:rPr>
        <w:t>支付违约金，如合同尚未履行终结，</w:t>
      </w:r>
      <w:r>
        <w:rPr>
          <w:rFonts w:hint="eastAsia"/>
          <w:bCs/>
          <w:sz w:val="24"/>
          <w:szCs w:val="24"/>
          <w:lang w:eastAsia="zh-CN"/>
        </w:rPr>
        <w:t>甲</w:t>
      </w:r>
      <w:r>
        <w:rPr>
          <w:bCs/>
          <w:sz w:val="24"/>
          <w:szCs w:val="24"/>
        </w:rPr>
        <w:t>方有权解除合同。本条款对双方具有永久约束力，不因合同其他条款无效或失效而丧失效力。</w:t>
      </w:r>
    </w:p>
    <w:p>
      <w:pPr>
        <w:spacing w:line="360" w:lineRule="auto"/>
        <w:ind w:firstLine="480" w:firstLineChars="200"/>
        <w:rPr>
          <w:bCs/>
          <w:sz w:val="24"/>
          <w:szCs w:val="24"/>
        </w:rPr>
      </w:pPr>
      <w:r>
        <w:rPr>
          <w:rFonts w:hint="eastAsia"/>
          <w:bCs/>
          <w:sz w:val="24"/>
          <w:szCs w:val="24"/>
        </w:rPr>
        <w:t>16.2 甲方</w:t>
      </w:r>
      <w:r>
        <w:rPr>
          <w:bCs/>
          <w:sz w:val="24"/>
          <w:szCs w:val="24"/>
        </w:rPr>
        <w:t>相关工作人员</w:t>
      </w:r>
      <w:r>
        <w:rPr>
          <w:rFonts w:hint="eastAsia"/>
          <w:bCs/>
          <w:sz w:val="24"/>
          <w:szCs w:val="24"/>
        </w:rPr>
        <w:t>接受乙方</w:t>
      </w:r>
      <w:r>
        <w:rPr>
          <w:bCs/>
          <w:sz w:val="24"/>
          <w:szCs w:val="24"/>
        </w:rPr>
        <w:t>回扣、佣金、有价证券、实物或其它形式的利益</w:t>
      </w:r>
      <w:r>
        <w:rPr>
          <w:rFonts w:hint="eastAsia"/>
          <w:bCs/>
          <w:sz w:val="24"/>
          <w:szCs w:val="24"/>
        </w:rPr>
        <w:t>，甲方将按照有关规定给予相应的处分，涉嫌犯罪的，移交司法机关追究其法律责任。</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w:t>
      </w:r>
      <w:r>
        <w:rPr>
          <w:rFonts w:hint="eastAsia" w:cs="宋体" w:asciiTheme="minorEastAsia" w:hAnsiTheme="minorEastAsia"/>
          <w:b/>
          <w:color w:val="000000"/>
          <w:sz w:val="24"/>
          <w:szCs w:val="24"/>
          <w:lang w:eastAsia="zh-CN"/>
        </w:rPr>
        <w:t>七</w:t>
      </w:r>
      <w:r>
        <w:rPr>
          <w:rFonts w:hint="eastAsia" w:cs="宋体" w:asciiTheme="minorEastAsia" w:hAnsiTheme="minorEastAsia"/>
          <w:b/>
          <w:color w:val="000000"/>
          <w:sz w:val="24"/>
          <w:szCs w:val="24"/>
        </w:rPr>
        <w:t>、其他</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.1 本合同未尽事宜由双方另行协商，协商一致后可签署书面补充协议。补充协议与本合同具有同等法律效力，约定不一致的，以补充协议依约定为准。</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.2 甲乙双方除非事先得到对方的书面同意或本合同另有规定，任何一方不得将本合同项下的任何权利、义务、责任转让给任何第三方。</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.3 未经双方同意，任何一方不得单方面修改本合同，如需变更，由甲乙双方协商一致后签订补充合同予以确认，补充合同与本合同具有同等法律效力。</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.4 合同</w:t>
      </w:r>
      <w:r>
        <w:rPr>
          <w:sz w:val="24"/>
          <w:szCs w:val="24"/>
        </w:rPr>
        <w:t>组成</w:t>
      </w:r>
    </w:p>
    <w:p>
      <w:pPr>
        <w:widowControl/>
        <w:spacing w:line="360" w:lineRule="auto"/>
        <w:ind w:firstLine="480" w:firstLineChars="200"/>
        <w:rPr>
          <w:sz w:val="24"/>
          <w:szCs w:val="24"/>
        </w:rPr>
      </w:pPr>
      <w:r>
        <w:rPr>
          <w:rFonts w:hint="eastAsia"/>
          <w:sz w:val="24"/>
          <w:szCs w:val="24"/>
        </w:rPr>
        <w:t>①本</w:t>
      </w:r>
      <w:r>
        <w:rPr>
          <w:sz w:val="24"/>
          <w:szCs w:val="24"/>
        </w:rPr>
        <w:t>合同协议书</w:t>
      </w:r>
      <w:r>
        <w:rPr>
          <w:rFonts w:hint="eastAsia"/>
          <w:sz w:val="24"/>
          <w:szCs w:val="24"/>
        </w:rPr>
        <w:t>；</w:t>
      </w:r>
    </w:p>
    <w:p>
      <w:pPr>
        <w:widowControl/>
        <w:spacing w:line="360" w:lineRule="auto"/>
        <w:ind w:firstLine="480" w:firstLineChars="200"/>
        <w:rPr>
          <w:sz w:val="24"/>
          <w:szCs w:val="24"/>
        </w:rPr>
      </w:pPr>
      <w:r>
        <w:rPr>
          <w:sz w:val="24"/>
          <w:szCs w:val="24"/>
        </w:rPr>
        <w:t>②</w:t>
      </w:r>
      <w:r>
        <w:rPr>
          <w:rFonts w:hint="eastAsia"/>
          <w:sz w:val="24"/>
          <w:szCs w:val="24"/>
        </w:rPr>
        <w:t>成交</w:t>
      </w:r>
      <w:r>
        <w:rPr>
          <w:sz w:val="24"/>
          <w:szCs w:val="24"/>
        </w:rPr>
        <w:t>通知书</w:t>
      </w:r>
      <w:r>
        <w:rPr>
          <w:rFonts w:hint="eastAsia"/>
          <w:sz w:val="24"/>
          <w:szCs w:val="24"/>
        </w:rPr>
        <w:t>；</w:t>
      </w:r>
    </w:p>
    <w:p>
      <w:pPr>
        <w:widowControl/>
        <w:spacing w:line="360" w:lineRule="auto"/>
        <w:ind w:firstLine="480" w:firstLineChars="200"/>
        <w:rPr>
          <w:sz w:val="24"/>
          <w:szCs w:val="24"/>
        </w:rPr>
      </w:pPr>
      <w:r>
        <w:rPr>
          <w:rFonts w:hint="eastAsia"/>
          <w:sz w:val="24"/>
          <w:szCs w:val="24"/>
        </w:rPr>
        <w:t>③竞争</w:t>
      </w:r>
      <w:r>
        <w:rPr>
          <w:sz w:val="24"/>
          <w:szCs w:val="24"/>
        </w:rPr>
        <w:t>性谈判采购文件及谈判响应文件</w:t>
      </w:r>
      <w:r>
        <w:rPr>
          <w:rFonts w:hint="eastAsia"/>
          <w:sz w:val="24"/>
          <w:szCs w:val="24"/>
        </w:rPr>
        <w:t>；</w:t>
      </w:r>
    </w:p>
    <w:p>
      <w:pPr>
        <w:widowControl/>
        <w:spacing w:line="360" w:lineRule="auto"/>
        <w:ind w:firstLine="480" w:firstLineChars="200"/>
        <w:rPr>
          <w:sz w:val="24"/>
          <w:szCs w:val="24"/>
        </w:rPr>
      </w:pPr>
      <w:r>
        <w:rPr>
          <w:sz w:val="24"/>
          <w:szCs w:val="24"/>
        </w:rPr>
        <w:t>④甲乙双方商定的其他必要文件</w:t>
      </w:r>
      <w:r>
        <w:rPr>
          <w:rFonts w:hint="eastAsia"/>
          <w:sz w:val="24"/>
          <w:szCs w:val="24"/>
        </w:rPr>
        <w:t>。</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w:t>
      </w:r>
      <w:r>
        <w:rPr>
          <w:sz w:val="24"/>
          <w:szCs w:val="24"/>
        </w:rPr>
        <w:t>5</w:t>
      </w:r>
      <w:r>
        <w:rPr>
          <w:rFonts w:hint="eastAsia"/>
          <w:sz w:val="24"/>
          <w:szCs w:val="24"/>
        </w:rPr>
        <w:t xml:space="preserve"> 本合同自双方盖章或其法定代表人或授权代表签字后生效。</w:t>
      </w:r>
    </w:p>
    <w:p>
      <w:pPr>
        <w:widowControl/>
        <w:spacing w:line="360" w:lineRule="auto"/>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w:t>
      </w:r>
      <w:r>
        <w:rPr>
          <w:sz w:val="24"/>
          <w:szCs w:val="24"/>
        </w:rPr>
        <w:t>6</w:t>
      </w:r>
      <w:r>
        <w:rPr>
          <w:rFonts w:hint="eastAsia"/>
          <w:sz w:val="24"/>
          <w:szCs w:val="24"/>
        </w:rPr>
        <w:t xml:space="preserve"> 本合同一式肆份，甲方持有叁份，乙方持有壹份，具有同等法律效力。</w:t>
      </w:r>
    </w:p>
    <w:p>
      <w:pPr>
        <w:widowControl/>
        <w:spacing w:line="360" w:lineRule="auto"/>
        <w:ind w:left="760" w:leftChars="200" w:hanging="360" w:hangingChars="150"/>
        <w:rPr>
          <w:sz w:val="24"/>
          <w:szCs w:val="24"/>
        </w:rPr>
      </w:pPr>
    </w:p>
    <w:p>
      <w:pPr>
        <w:widowControl/>
        <w:spacing w:line="360" w:lineRule="auto"/>
        <w:ind w:left="760" w:leftChars="200" w:hanging="360" w:hangingChars="150"/>
        <w:rPr>
          <w:sz w:val="24"/>
          <w:szCs w:val="24"/>
        </w:rPr>
      </w:pPr>
    </w:p>
    <w:p>
      <w:pPr>
        <w:widowControl/>
        <w:spacing w:line="360" w:lineRule="auto"/>
        <w:rPr>
          <w:b/>
          <w:sz w:val="24"/>
          <w:szCs w:val="24"/>
        </w:rPr>
      </w:pPr>
      <w:r>
        <w:rPr>
          <w:rFonts w:hint="eastAsia"/>
          <w:b/>
          <w:sz w:val="24"/>
          <w:szCs w:val="24"/>
        </w:rPr>
        <w:t>以下为签字页，无正文</w:t>
      </w:r>
    </w:p>
    <w:p>
      <w:pPr>
        <w:spacing w:line="360" w:lineRule="auto"/>
        <w:ind w:firstLine="240" w:firstLineChars="100"/>
        <w:rPr>
          <w:sz w:val="24"/>
          <w:szCs w:val="24"/>
        </w:rPr>
      </w:pPr>
      <w:r>
        <w:rPr>
          <w:rFonts w:hint="eastAsia"/>
          <w:sz w:val="24"/>
          <w:szCs w:val="24"/>
        </w:rPr>
        <w:t>甲方：                                 乙方：</w:t>
      </w:r>
    </w:p>
    <w:p>
      <w:pPr>
        <w:spacing w:line="360" w:lineRule="auto"/>
        <w:ind w:firstLine="240" w:firstLineChars="100"/>
        <w:rPr>
          <w:sz w:val="24"/>
          <w:szCs w:val="24"/>
        </w:rPr>
      </w:pPr>
    </w:p>
    <w:p>
      <w:pPr>
        <w:spacing w:line="360" w:lineRule="auto"/>
        <w:ind w:firstLine="240" w:firstLineChars="100"/>
        <w:rPr>
          <w:sz w:val="24"/>
          <w:szCs w:val="24"/>
        </w:rPr>
      </w:pPr>
      <w:r>
        <w:rPr>
          <w:rFonts w:hint="eastAsia"/>
          <w:sz w:val="24"/>
          <w:szCs w:val="24"/>
        </w:rPr>
        <w:t>法定代表人或授权代表：                 法定代表人或授权代表：</w:t>
      </w:r>
    </w:p>
    <w:p>
      <w:pPr>
        <w:spacing w:line="360" w:lineRule="auto"/>
        <w:rPr>
          <w:sz w:val="24"/>
          <w:szCs w:val="24"/>
        </w:rPr>
      </w:pPr>
      <w:r>
        <w:rPr>
          <w:rFonts w:hint="eastAsia"/>
          <w:sz w:val="24"/>
          <w:szCs w:val="24"/>
        </w:rPr>
        <w:t xml:space="preserve">  </w:t>
      </w:r>
    </w:p>
    <w:p>
      <w:pPr>
        <w:spacing w:line="360" w:lineRule="auto"/>
        <w:ind w:firstLine="240" w:firstLineChars="100"/>
        <w:rPr>
          <w:sz w:val="24"/>
          <w:szCs w:val="24"/>
        </w:rPr>
      </w:pPr>
      <w:r>
        <w:rPr>
          <w:rFonts w:hint="eastAsia"/>
          <w:sz w:val="24"/>
          <w:szCs w:val="24"/>
        </w:rPr>
        <w:t>日期：    年  月  日                   日期：    年  月  日</w:t>
      </w:r>
    </w:p>
    <w:p>
      <w:pPr>
        <w:spacing w:line="360" w:lineRule="auto"/>
        <w:ind w:firstLine="240" w:firstLineChars="100"/>
        <w:rPr>
          <w:sz w:val="24"/>
          <w:szCs w:val="24"/>
        </w:rPr>
      </w:pPr>
    </w:p>
    <w:p>
      <w:pPr>
        <w:spacing w:line="360" w:lineRule="auto"/>
        <w:ind w:firstLine="240" w:firstLineChars="100"/>
        <w:rPr>
          <w:sz w:val="24"/>
          <w:szCs w:val="24"/>
        </w:rPr>
      </w:pPr>
      <w:r>
        <w:rPr>
          <w:rFonts w:hint="eastAsia"/>
          <w:sz w:val="24"/>
          <w:szCs w:val="24"/>
        </w:rPr>
        <w:t xml:space="preserve">合同签订地：          </w:t>
      </w:r>
    </w:p>
    <w:p>
      <w:pPr>
        <w:spacing w:line="360" w:lineRule="auto"/>
        <w:ind w:right="300" w:rightChars="150" w:firstLine="480" w:firstLineChars="200"/>
        <w:rPr>
          <w:rFonts w:hAnsi="宋体"/>
          <w:color w:val="000000"/>
          <w:sz w:val="24"/>
          <w:szCs w:val="28"/>
        </w:rPr>
      </w:pPr>
    </w:p>
    <w:p>
      <w:pPr>
        <w:pStyle w:val="2"/>
        <w:spacing w:line="360" w:lineRule="auto"/>
        <w:jc w:val="center"/>
        <w:rPr>
          <w:rFonts w:hAnsi="宋体"/>
        </w:rPr>
      </w:pPr>
      <w:r>
        <w:rPr>
          <w:color w:val="000000"/>
          <w:sz w:val="24"/>
          <w:szCs w:val="28"/>
        </w:rPr>
        <w:br w:type="page"/>
      </w:r>
      <w:bookmarkStart w:id="74" w:name="_Toc2850"/>
      <w:r>
        <w:rPr>
          <w:rFonts w:hint="eastAsia" w:hAnsi="宋体"/>
        </w:rPr>
        <w:t>第四章  谈判响应文件格式</w:t>
      </w:r>
      <w:bookmarkEnd w:id="73"/>
      <w:bookmarkEnd w:id="74"/>
    </w:p>
    <w:p>
      <w:pPr>
        <w:widowControl/>
        <w:rPr>
          <w:rFonts w:hAnsi="宋体"/>
          <w:b/>
          <w:sz w:val="24"/>
          <w:szCs w:val="28"/>
          <w:u w:val="single"/>
        </w:rPr>
      </w:pPr>
      <w:r>
        <w:rPr>
          <w:rFonts w:hint="eastAsia" w:hAnsi="宋体"/>
          <w:b/>
          <w:sz w:val="24"/>
          <w:szCs w:val="28"/>
          <w:u w:val="single"/>
        </w:rPr>
        <w:t>注：请谈判供应商按照以下文件的要求格式、内容，顺序制作谈判响应文件，并请编制目录及页码，否则可能将影响对谈判响应文件的评价。</w:t>
      </w:r>
    </w:p>
    <w:p>
      <w:pPr>
        <w:pStyle w:val="3"/>
        <w:spacing w:before="0" w:after="0" w:line="240" w:lineRule="auto"/>
        <w:rPr>
          <w:rFonts w:ascii="宋体" w:hAnsi="宋体" w:eastAsia="宋体"/>
        </w:rPr>
      </w:pPr>
      <w:bookmarkStart w:id="75" w:name="_Toc153360200"/>
      <w:bookmarkStart w:id="76" w:name="_Toc18390"/>
      <w:bookmarkStart w:id="77" w:name="_Toc279410006"/>
      <w:r>
        <w:rPr>
          <w:rFonts w:hint="eastAsia" w:ascii="宋体" w:hAnsi="宋体" w:eastAsia="宋体"/>
        </w:rPr>
        <w:t>一、谈判函、谈判报价及项目相关文件</w:t>
      </w:r>
      <w:bookmarkEnd w:id="75"/>
      <w:bookmarkEnd w:id="76"/>
      <w:bookmarkEnd w:id="77"/>
    </w:p>
    <w:p>
      <w:pPr>
        <w:pStyle w:val="4"/>
        <w:autoSpaceDE/>
        <w:autoSpaceDN/>
        <w:adjustRightInd/>
        <w:spacing w:before="0" w:after="0" w:line="240" w:lineRule="auto"/>
        <w:rPr>
          <w:rFonts w:hAnsi="宋体"/>
          <w:kern w:val="2"/>
          <w:sz w:val="30"/>
          <w:szCs w:val="30"/>
        </w:rPr>
      </w:pPr>
      <w:bookmarkStart w:id="78" w:name="_Toc5506"/>
      <w:bookmarkStart w:id="79" w:name="_Toc279410007"/>
      <w:r>
        <w:rPr>
          <w:rFonts w:hint="eastAsia" w:hAnsi="宋体"/>
          <w:kern w:val="2"/>
          <w:sz w:val="30"/>
          <w:szCs w:val="30"/>
        </w:rPr>
        <w:t>1.竞争性谈判函</w:t>
      </w:r>
      <w:bookmarkEnd w:id="78"/>
      <w:bookmarkEnd w:id="79"/>
    </w:p>
    <w:p>
      <w:pPr>
        <w:widowControl/>
        <w:spacing w:before="19" w:line="360" w:lineRule="auto"/>
        <w:rPr>
          <w:rFonts w:hAnsi="宋体"/>
          <w:b/>
          <w:sz w:val="24"/>
          <w:szCs w:val="24"/>
        </w:rPr>
      </w:pPr>
      <w:r>
        <w:rPr>
          <w:rFonts w:hint="eastAsia" w:hAnsi="宋体"/>
          <w:sz w:val="24"/>
          <w:szCs w:val="24"/>
        </w:rPr>
        <w:t>南京审计大学：</w:t>
      </w:r>
    </w:p>
    <w:p>
      <w:pPr>
        <w:spacing w:line="360" w:lineRule="auto"/>
        <w:ind w:firstLine="480" w:firstLineChars="200"/>
        <w:rPr>
          <w:rFonts w:hAnsi="宋体"/>
          <w:sz w:val="24"/>
          <w:szCs w:val="24"/>
        </w:rPr>
      </w:pPr>
      <w:r>
        <w:rPr>
          <w:rFonts w:hint="eastAsia" w:hAnsi="宋体"/>
          <w:sz w:val="24"/>
          <w:szCs w:val="24"/>
        </w:rPr>
        <w:t>你方</w:t>
      </w:r>
      <w:r>
        <w:rPr>
          <w:rFonts w:hint="eastAsia" w:hAnsi="宋体"/>
          <w:sz w:val="24"/>
          <w:szCs w:val="24"/>
          <w:u w:val="single"/>
        </w:rPr>
        <w:t xml:space="preserve">   </w:t>
      </w:r>
      <w:r>
        <w:rPr>
          <w:rFonts w:hint="eastAsia" w:hAnsi="宋体"/>
          <w:sz w:val="24"/>
          <w:szCs w:val="24"/>
        </w:rPr>
        <w:t>号谈判采购文件（包括更正公告，如果有的话）收悉，我方经详细审阅和研究，现决定参加竞争性谈判。</w:t>
      </w:r>
    </w:p>
    <w:p>
      <w:pPr>
        <w:widowControl/>
        <w:snapToGrid w:val="0"/>
        <w:spacing w:before="19" w:line="360" w:lineRule="auto"/>
        <w:ind w:firstLine="555"/>
        <w:rPr>
          <w:rFonts w:hAnsi="宋体"/>
          <w:sz w:val="24"/>
          <w:szCs w:val="24"/>
        </w:rPr>
      </w:pPr>
      <w:r>
        <w:rPr>
          <w:rFonts w:hint="eastAsia" w:hAnsi="宋体"/>
          <w:sz w:val="24"/>
          <w:szCs w:val="24"/>
        </w:rPr>
        <w:t>1．我方郑重承诺：我方是符合《政府采购法》第22条规定的供应商，并严格遵守《政府采购法》第77条的规定，本谈判响应文件中提供的所有材料均是真实有效的。</w:t>
      </w:r>
    </w:p>
    <w:p>
      <w:pPr>
        <w:widowControl/>
        <w:spacing w:line="360" w:lineRule="auto"/>
        <w:ind w:firstLine="480" w:firstLineChars="200"/>
        <w:rPr>
          <w:rFonts w:hAnsi="宋体"/>
          <w:sz w:val="24"/>
          <w:szCs w:val="24"/>
        </w:rPr>
      </w:pPr>
      <w:r>
        <w:rPr>
          <w:rFonts w:hint="eastAsia" w:hAnsi="宋体"/>
          <w:sz w:val="24"/>
          <w:szCs w:val="24"/>
        </w:rPr>
        <w:t>2．我方接受谈判采购文件的所有的条款和规定。</w:t>
      </w:r>
    </w:p>
    <w:p>
      <w:pPr>
        <w:spacing w:line="360" w:lineRule="auto"/>
        <w:rPr>
          <w:rFonts w:hAnsi="宋体"/>
          <w:sz w:val="24"/>
          <w:szCs w:val="24"/>
        </w:rPr>
      </w:pPr>
      <w:r>
        <w:rPr>
          <w:rFonts w:hint="eastAsia" w:hAnsi="宋体"/>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pPr>
        <w:spacing w:line="360" w:lineRule="auto"/>
        <w:rPr>
          <w:rFonts w:hAnsi="宋体"/>
          <w:sz w:val="24"/>
          <w:szCs w:val="24"/>
        </w:rPr>
      </w:pPr>
      <w:r>
        <w:rPr>
          <w:rFonts w:hint="eastAsia" w:hAnsi="宋体"/>
          <w:sz w:val="24"/>
          <w:szCs w:val="24"/>
        </w:rPr>
        <w:t xml:space="preserve">    4．我方同意提供采购人要求的有关本次竞争性谈判的所有资料。</w:t>
      </w:r>
    </w:p>
    <w:p>
      <w:pPr>
        <w:spacing w:line="360" w:lineRule="auto"/>
        <w:rPr>
          <w:rFonts w:hAnsi="宋体"/>
          <w:sz w:val="24"/>
          <w:szCs w:val="24"/>
        </w:rPr>
      </w:pPr>
      <w:r>
        <w:rPr>
          <w:rFonts w:hint="eastAsia" w:hAnsi="宋体"/>
          <w:sz w:val="24"/>
          <w:szCs w:val="24"/>
        </w:rPr>
        <w:t xml:space="preserve">    5．我方理解，你们无义务必须接受竞争性谈判最低的报价，并有权拒绝所有的谈判响应文件和报价。同时也理解你方不承担我们本次谈判的费用。</w:t>
      </w:r>
    </w:p>
    <w:p>
      <w:pPr>
        <w:spacing w:line="360" w:lineRule="auto"/>
        <w:rPr>
          <w:rFonts w:hAnsi="宋体"/>
          <w:sz w:val="24"/>
          <w:szCs w:val="24"/>
        </w:rPr>
      </w:pPr>
      <w:r>
        <w:rPr>
          <w:rFonts w:hint="eastAsia" w:hAnsi="宋体"/>
          <w:sz w:val="24"/>
          <w:szCs w:val="24"/>
        </w:rPr>
        <w:t xml:space="preserve">    6．如果我方成交，为执行合同，我方将按谈判供应商须知有关要求提供必要的履约保证。</w:t>
      </w:r>
    </w:p>
    <w:p>
      <w:pPr>
        <w:snapToGrid w:val="0"/>
        <w:spacing w:line="360" w:lineRule="auto"/>
        <w:rPr>
          <w:rFonts w:hAnsi="宋体"/>
          <w:sz w:val="24"/>
          <w:szCs w:val="24"/>
        </w:rPr>
      </w:pPr>
    </w:p>
    <w:p>
      <w:pPr>
        <w:snapToGrid w:val="0"/>
        <w:spacing w:line="360" w:lineRule="auto"/>
        <w:rPr>
          <w:rFonts w:hAnsi="宋体"/>
          <w:sz w:val="24"/>
          <w:szCs w:val="24"/>
        </w:rPr>
      </w:pPr>
      <w:r>
        <w:rPr>
          <w:rFonts w:hint="eastAsia" w:hAnsi="宋体"/>
          <w:sz w:val="24"/>
          <w:szCs w:val="24"/>
        </w:rPr>
        <w:t>供应商名称：</w:t>
      </w:r>
      <w:r>
        <w:rPr>
          <w:rFonts w:hint="eastAsia" w:hAnsi="宋体"/>
          <w:sz w:val="24"/>
          <w:szCs w:val="24"/>
          <w:u w:val="single"/>
        </w:rPr>
        <w:t xml:space="preserve">              （公章 ）</w:t>
      </w:r>
    </w:p>
    <w:p>
      <w:pPr>
        <w:snapToGrid w:val="0"/>
        <w:spacing w:line="360" w:lineRule="auto"/>
        <w:rPr>
          <w:rFonts w:hAnsi="宋体"/>
          <w:sz w:val="24"/>
          <w:szCs w:val="24"/>
          <w:u w:val="single"/>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邮编：</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授权代表签字：</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职务：</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日期：</w:t>
      </w:r>
      <w:r>
        <w:rPr>
          <w:rFonts w:hint="eastAsia" w:hAnsi="宋体"/>
          <w:sz w:val="24"/>
          <w:szCs w:val="24"/>
          <w:u w:val="single"/>
        </w:rPr>
        <w:t xml:space="preserve">      </w:t>
      </w:r>
    </w:p>
    <w:p>
      <w:pPr>
        <w:pStyle w:val="4"/>
        <w:spacing w:line="360" w:lineRule="auto"/>
        <w:rPr>
          <w:rFonts w:hAnsi="宋体"/>
          <w:kern w:val="2"/>
          <w:sz w:val="30"/>
          <w:szCs w:val="30"/>
        </w:rPr>
      </w:pPr>
      <w:bookmarkStart w:id="80" w:name="_Toc279410008"/>
      <w:bookmarkStart w:id="81" w:name="_Toc9361"/>
      <w:r>
        <w:rPr>
          <w:rFonts w:hint="eastAsia" w:hAnsi="宋体"/>
        </w:rPr>
        <w:t>2.报价一览表</w:t>
      </w:r>
      <w:bookmarkEnd w:id="80"/>
      <w:bookmarkEnd w:id="81"/>
    </w:p>
    <w:tbl>
      <w:tblPr>
        <w:tblStyle w:val="45"/>
        <w:tblW w:w="8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9"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项目</w:t>
            </w:r>
          </w:p>
        </w:tc>
        <w:tc>
          <w:tcPr>
            <w:tcW w:w="7083" w:type="dxa"/>
            <w:gridSpan w:val="3"/>
            <w:vAlign w:val="center"/>
          </w:tcPr>
          <w:p>
            <w:pPr>
              <w:topLinePunct/>
              <w:snapToGrid w:val="0"/>
              <w:spacing w:line="360" w:lineRule="auto"/>
              <w:jc w:val="center"/>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1"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谈判</w:t>
            </w:r>
          </w:p>
          <w:p>
            <w:pPr>
              <w:widowControl/>
              <w:topLinePunct/>
              <w:snapToGrid w:val="0"/>
              <w:spacing w:before="4" w:line="360" w:lineRule="auto"/>
              <w:jc w:val="center"/>
              <w:rPr>
                <w:rFonts w:hAnsi="宋体" w:cs="宋体"/>
                <w:sz w:val="24"/>
                <w:szCs w:val="24"/>
              </w:rPr>
            </w:pPr>
            <w:r>
              <w:rPr>
                <w:rFonts w:hint="eastAsia" w:hAnsi="宋体" w:cs="宋体"/>
                <w:sz w:val="24"/>
                <w:szCs w:val="24"/>
              </w:rPr>
              <w:t>报价</w:t>
            </w:r>
          </w:p>
          <w:p>
            <w:pPr>
              <w:widowControl/>
              <w:topLinePunct/>
              <w:snapToGrid w:val="0"/>
              <w:spacing w:before="4" w:line="360" w:lineRule="auto"/>
              <w:jc w:val="center"/>
              <w:rPr>
                <w:rFonts w:hAnsi="宋体" w:cs="宋体"/>
                <w:sz w:val="24"/>
                <w:szCs w:val="24"/>
              </w:rPr>
            </w:pPr>
            <w:r>
              <w:rPr>
                <w:rFonts w:hint="eastAsia" w:hAnsi="宋体" w:cs="宋体"/>
                <w:sz w:val="24"/>
                <w:szCs w:val="24"/>
              </w:rPr>
              <w:t>总计</w:t>
            </w:r>
          </w:p>
        </w:tc>
        <w:tc>
          <w:tcPr>
            <w:tcW w:w="7083" w:type="dxa"/>
            <w:gridSpan w:val="3"/>
            <w:vAlign w:val="center"/>
          </w:tcPr>
          <w:p>
            <w:pPr>
              <w:topLinePunct/>
              <w:snapToGrid w:val="0"/>
              <w:spacing w:line="360" w:lineRule="auto"/>
              <w:rPr>
                <w:rFonts w:hAnsi="宋体" w:cs="宋体"/>
                <w:bCs/>
                <w:sz w:val="24"/>
                <w:szCs w:val="24"/>
              </w:rPr>
            </w:pPr>
            <w:r>
              <w:rPr>
                <w:rFonts w:hint="eastAsia" w:hAnsi="宋体" w:cs="宋体"/>
                <w:bCs/>
                <w:sz w:val="24"/>
                <w:szCs w:val="24"/>
              </w:rPr>
              <w:t>人民币（大写）</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万</w:t>
            </w:r>
            <w:r>
              <w:rPr>
                <w:rFonts w:hint="eastAsia" w:hAnsi="宋体"/>
                <w:sz w:val="24"/>
                <w:szCs w:val="24"/>
                <w:u w:val="single"/>
              </w:rPr>
              <w:t xml:space="preserve">   </w:t>
            </w:r>
            <w:r>
              <w:rPr>
                <w:rFonts w:hint="eastAsia" w:hAnsi="宋体" w:cs="宋体"/>
                <w:bCs/>
                <w:sz w:val="24"/>
                <w:szCs w:val="24"/>
              </w:rPr>
              <w:t>仟</w:t>
            </w:r>
            <w:r>
              <w:rPr>
                <w:rFonts w:hint="eastAsia" w:hAnsi="宋体"/>
                <w:sz w:val="24"/>
                <w:szCs w:val="24"/>
                <w:u w:val="single"/>
              </w:rPr>
              <w:t xml:space="preserve">   </w:t>
            </w:r>
            <w:r>
              <w:rPr>
                <w:rFonts w:hint="eastAsia" w:hAnsi="宋体" w:cs="宋体"/>
                <w:bCs/>
                <w:sz w:val="24"/>
                <w:szCs w:val="24"/>
              </w:rPr>
              <w:t>佰</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元整</w:t>
            </w:r>
          </w:p>
          <w:p>
            <w:pPr>
              <w:topLinePunct/>
              <w:snapToGrid w:val="0"/>
              <w:spacing w:line="360" w:lineRule="auto"/>
              <w:rPr>
                <w:rFonts w:hAnsi="宋体" w:cs="宋体"/>
                <w:bCs/>
                <w:sz w:val="24"/>
                <w:szCs w:val="24"/>
              </w:rPr>
            </w:pPr>
            <w:r>
              <w:rPr>
                <w:rFonts w:hint="eastAsia" w:hAnsi="宋体" w:cs="宋体"/>
                <w:bCs/>
                <w:sz w:val="24"/>
                <w:szCs w:val="24"/>
              </w:rPr>
              <w:t>（¥</w:t>
            </w:r>
            <w:r>
              <w:rPr>
                <w:rFonts w:hint="eastAsia" w:hAnsi="宋体"/>
                <w:sz w:val="24"/>
                <w:szCs w:val="24"/>
                <w:u w:val="single"/>
              </w:rPr>
              <w:t xml:space="preserve">               </w:t>
            </w:r>
            <w:r>
              <w:rPr>
                <w:rFonts w:hint="eastAsia" w:hAnsi="宋体" w:cs="宋体"/>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交付期</w:t>
            </w:r>
          </w:p>
        </w:tc>
        <w:tc>
          <w:tcPr>
            <w:tcW w:w="2361" w:type="dxa"/>
            <w:vAlign w:val="center"/>
          </w:tcPr>
          <w:p>
            <w:pPr>
              <w:topLinePunct/>
              <w:snapToGrid w:val="0"/>
              <w:spacing w:line="360" w:lineRule="auto"/>
              <w:jc w:val="center"/>
              <w:rPr>
                <w:rFonts w:hAnsi="宋体" w:cs="宋体"/>
                <w:bCs/>
                <w:sz w:val="24"/>
                <w:szCs w:val="24"/>
              </w:rPr>
            </w:pPr>
          </w:p>
        </w:tc>
        <w:tc>
          <w:tcPr>
            <w:tcW w:w="2361" w:type="dxa"/>
            <w:vAlign w:val="center"/>
          </w:tcPr>
          <w:p>
            <w:pPr>
              <w:widowControl/>
              <w:topLinePunct/>
              <w:snapToGrid w:val="0"/>
              <w:spacing w:before="4" w:line="360" w:lineRule="auto"/>
              <w:jc w:val="center"/>
              <w:rPr>
                <w:rFonts w:hAnsi="宋体" w:cs="宋体"/>
                <w:bCs/>
                <w:sz w:val="24"/>
                <w:szCs w:val="24"/>
              </w:rPr>
            </w:pPr>
            <w:r>
              <w:rPr>
                <w:rFonts w:hint="eastAsia" w:hAnsi="宋体" w:cs="宋体"/>
                <w:sz w:val="24"/>
                <w:szCs w:val="24"/>
              </w:rPr>
              <w:t>质保期</w:t>
            </w:r>
          </w:p>
        </w:tc>
        <w:tc>
          <w:tcPr>
            <w:tcW w:w="2361" w:type="dxa"/>
            <w:vAlign w:val="center"/>
          </w:tcPr>
          <w:p>
            <w:pPr>
              <w:topLinePunct/>
              <w:snapToGrid w:val="0"/>
              <w:spacing w:line="360" w:lineRule="auto"/>
              <w:jc w:val="center"/>
              <w:rPr>
                <w:rFonts w:hAnsi="宋体" w:cs="宋体"/>
                <w:bCs/>
                <w:sz w:val="24"/>
                <w:szCs w:val="24"/>
              </w:rPr>
            </w:pP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widowControl/>
        <w:topLinePunct/>
        <w:snapToGrid w:val="0"/>
        <w:spacing w:before="4" w:line="360" w:lineRule="auto"/>
        <w:rPr>
          <w:rFonts w:hAnsi="宋体"/>
          <w:bCs/>
          <w:sz w:val="21"/>
          <w:szCs w:val="21"/>
        </w:rPr>
      </w:pPr>
      <w:r>
        <w:rPr>
          <w:rFonts w:hint="eastAsia" w:hAnsi="宋体"/>
          <w:bCs/>
          <w:sz w:val="24"/>
          <w:szCs w:val="24"/>
        </w:rPr>
        <w:t>注</w:t>
      </w:r>
      <w:r>
        <w:rPr>
          <w:rFonts w:hint="eastAsia" w:hAnsi="宋体"/>
          <w:bCs/>
          <w:sz w:val="21"/>
          <w:szCs w:val="21"/>
        </w:rPr>
        <w:t>:（1）谈判报价应包括竞争性谈判采购文件所规定的范围的全部内容。</w:t>
      </w:r>
    </w:p>
    <w:p>
      <w:pPr>
        <w:widowControl/>
        <w:tabs>
          <w:tab w:val="left" w:pos="360"/>
        </w:tabs>
        <w:snapToGrid w:val="0"/>
        <w:spacing w:before="67" w:line="360" w:lineRule="auto"/>
        <w:ind w:left="-58" w:leftChars="-29" w:right="-360" w:firstLine="384" w:firstLineChars="183"/>
        <w:rPr>
          <w:rFonts w:hAnsi="宋体"/>
          <w:sz w:val="21"/>
          <w:szCs w:val="21"/>
        </w:rPr>
      </w:pPr>
      <w:r>
        <w:rPr>
          <w:rFonts w:hint="eastAsia" w:hAnsi="宋体"/>
          <w:bCs/>
          <w:sz w:val="21"/>
          <w:szCs w:val="21"/>
        </w:rPr>
        <w:t>（2）报价一览表格式不得自行改动。</w:t>
      </w:r>
    </w:p>
    <w:p>
      <w:pPr>
        <w:pStyle w:val="4"/>
        <w:spacing w:line="360" w:lineRule="auto"/>
        <w:rPr>
          <w:rFonts w:hAnsi="宋体"/>
          <w:sz w:val="30"/>
        </w:rPr>
      </w:pPr>
      <w:bookmarkStart w:id="82" w:name="_Toc17631"/>
      <w:bookmarkStart w:id="83" w:name="_Toc279410009"/>
      <w:bookmarkStart w:id="84" w:name="_Toc213839796"/>
      <w:bookmarkStart w:id="85" w:name="_Toc196890851"/>
      <w:r>
        <w:rPr>
          <w:rFonts w:hint="eastAsia" w:hAnsi="宋体"/>
          <w:sz w:val="30"/>
        </w:rPr>
        <w:t>3</w:t>
      </w:r>
      <w:r>
        <w:rPr>
          <w:rFonts w:hAnsi="宋体"/>
          <w:sz w:val="30"/>
        </w:rPr>
        <w:t>.</w:t>
      </w:r>
      <w:r>
        <w:rPr>
          <w:rFonts w:hint="eastAsia" w:hAnsi="宋体"/>
          <w:sz w:val="30"/>
        </w:rPr>
        <w:t>谈判</w:t>
      </w:r>
      <w:r>
        <w:rPr>
          <w:rFonts w:hAnsi="宋体"/>
          <w:sz w:val="30"/>
        </w:rPr>
        <w:t>报价明细表</w:t>
      </w:r>
      <w:bookmarkEnd w:id="82"/>
      <w:bookmarkEnd w:id="83"/>
      <w:bookmarkEnd w:id="84"/>
      <w:bookmarkEnd w:id="85"/>
    </w:p>
    <w:tbl>
      <w:tblPr>
        <w:tblStyle w:val="45"/>
        <w:tblpPr w:leftFromText="180" w:rightFromText="180" w:vertAnchor="text" w:tblpXSpec="center" w:tblpY="217"/>
        <w:tblOverlap w:val="never"/>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1"/>
        <w:gridCol w:w="1482"/>
        <w:gridCol w:w="1482"/>
        <w:gridCol w:w="864"/>
        <w:gridCol w:w="864"/>
        <w:gridCol w:w="762"/>
        <w:gridCol w:w="911"/>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序号</w:t>
            </w:r>
          </w:p>
        </w:tc>
        <w:tc>
          <w:tcPr>
            <w:tcW w:w="1111" w:type="dxa"/>
            <w:vAlign w:val="center"/>
          </w:tcPr>
          <w:p>
            <w:pPr>
              <w:spacing w:line="360" w:lineRule="auto"/>
              <w:jc w:val="center"/>
              <w:rPr>
                <w:rFonts w:hAnsi="宋体"/>
                <w:sz w:val="24"/>
                <w:szCs w:val="24"/>
              </w:rPr>
            </w:pPr>
            <w:r>
              <w:rPr>
                <w:rFonts w:hint="eastAsia" w:hAnsi="宋体"/>
                <w:sz w:val="24"/>
                <w:szCs w:val="24"/>
              </w:rPr>
              <w:t>货物</w:t>
            </w:r>
          </w:p>
          <w:p>
            <w:pPr>
              <w:spacing w:line="360" w:lineRule="auto"/>
              <w:jc w:val="center"/>
              <w:rPr>
                <w:rFonts w:hAnsi="宋体"/>
                <w:sz w:val="24"/>
                <w:szCs w:val="24"/>
              </w:rPr>
            </w:pPr>
            <w:r>
              <w:rPr>
                <w:rFonts w:hint="eastAsia" w:hAnsi="宋体"/>
                <w:sz w:val="24"/>
                <w:szCs w:val="24"/>
              </w:rPr>
              <w:t>名称</w:t>
            </w:r>
          </w:p>
        </w:tc>
        <w:tc>
          <w:tcPr>
            <w:tcW w:w="1482" w:type="dxa"/>
            <w:vAlign w:val="center"/>
          </w:tcPr>
          <w:p>
            <w:pPr>
              <w:spacing w:line="360" w:lineRule="auto"/>
              <w:jc w:val="center"/>
              <w:rPr>
                <w:rFonts w:hAnsi="宋体"/>
                <w:sz w:val="24"/>
                <w:szCs w:val="24"/>
              </w:rPr>
            </w:pPr>
            <w:r>
              <w:rPr>
                <w:rFonts w:hint="eastAsia" w:hAnsi="宋体"/>
                <w:sz w:val="24"/>
                <w:szCs w:val="24"/>
              </w:rPr>
              <w:t>品牌</w:t>
            </w:r>
          </w:p>
        </w:tc>
        <w:tc>
          <w:tcPr>
            <w:tcW w:w="1482" w:type="dxa"/>
            <w:vAlign w:val="center"/>
          </w:tcPr>
          <w:p>
            <w:pPr>
              <w:spacing w:line="360" w:lineRule="auto"/>
              <w:jc w:val="center"/>
              <w:rPr>
                <w:rFonts w:hAnsi="宋体"/>
                <w:sz w:val="24"/>
                <w:szCs w:val="24"/>
              </w:rPr>
            </w:pPr>
            <w:r>
              <w:rPr>
                <w:rFonts w:hint="eastAsia" w:hAnsi="宋体"/>
                <w:sz w:val="24"/>
                <w:szCs w:val="24"/>
              </w:rPr>
              <w:t>规格型号</w:t>
            </w:r>
          </w:p>
        </w:tc>
        <w:tc>
          <w:tcPr>
            <w:tcW w:w="864" w:type="dxa"/>
            <w:vAlign w:val="center"/>
          </w:tcPr>
          <w:p>
            <w:pPr>
              <w:spacing w:line="360" w:lineRule="auto"/>
              <w:jc w:val="center"/>
              <w:rPr>
                <w:rFonts w:hAnsi="宋体"/>
                <w:sz w:val="24"/>
                <w:szCs w:val="24"/>
              </w:rPr>
            </w:pPr>
            <w:r>
              <w:rPr>
                <w:rFonts w:hint="eastAsia" w:hAnsi="宋体"/>
                <w:sz w:val="24"/>
                <w:szCs w:val="24"/>
              </w:rPr>
              <w:t>单位</w:t>
            </w:r>
          </w:p>
        </w:tc>
        <w:tc>
          <w:tcPr>
            <w:tcW w:w="864" w:type="dxa"/>
            <w:vAlign w:val="center"/>
          </w:tcPr>
          <w:p>
            <w:pPr>
              <w:spacing w:line="360" w:lineRule="auto"/>
              <w:jc w:val="center"/>
              <w:rPr>
                <w:rFonts w:hAnsi="宋体"/>
                <w:sz w:val="24"/>
                <w:szCs w:val="24"/>
              </w:rPr>
            </w:pPr>
            <w:r>
              <w:rPr>
                <w:rFonts w:hint="eastAsia" w:hAnsi="宋体"/>
                <w:sz w:val="24"/>
                <w:szCs w:val="24"/>
              </w:rPr>
              <w:t>数量</w:t>
            </w:r>
          </w:p>
        </w:tc>
        <w:tc>
          <w:tcPr>
            <w:tcW w:w="762" w:type="dxa"/>
            <w:vAlign w:val="center"/>
          </w:tcPr>
          <w:p>
            <w:pPr>
              <w:spacing w:line="360" w:lineRule="auto"/>
              <w:jc w:val="center"/>
              <w:rPr>
                <w:rFonts w:hAnsi="宋体"/>
                <w:sz w:val="24"/>
                <w:szCs w:val="24"/>
              </w:rPr>
            </w:pPr>
            <w:r>
              <w:rPr>
                <w:rFonts w:hint="eastAsia" w:hAnsi="宋体"/>
                <w:sz w:val="24"/>
                <w:szCs w:val="24"/>
              </w:rPr>
              <w:t>单价</w:t>
            </w:r>
          </w:p>
        </w:tc>
        <w:tc>
          <w:tcPr>
            <w:tcW w:w="911" w:type="dxa"/>
            <w:vAlign w:val="center"/>
          </w:tcPr>
          <w:p>
            <w:pPr>
              <w:spacing w:line="360" w:lineRule="auto"/>
              <w:jc w:val="center"/>
              <w:rPr>
                <w:rFonts w:hAnsi="宋体"/>
                <w:sz w:val="24"/>
                <w:szCs w:val="24"/>
              </w:rPr>
            </w:pPr>
            <w:r>
              <w:rPr>
                <w:rFonts w:hint="eastAsia" w:hAnsi="宋体"/>
                <w:sz w:val="24"/>
                <w:szCs w:val="24"/>
              </w:rPr>
              <w:t>总 价</w:t>
            </w:r>
          </w:p>
        </w:tc>
        <w:tc>
          <w:tcPr>
            <w:tcW w:w="1073" w:type="dxa"/>
            <w:vAlign w:val="center"/>
          </w:tcPr>
          <w:p>
            <w:pPr>
              <w:spacing w:line="360" w:lineRule="auto"/>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1</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2</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3</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4</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5</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9261" w:type="dxa"/>
            <w:gridSpan w:val="9"/>
          </w:tcPr>
          <w:p>
            <w:pPr>
              <w:topLinePunct/>
              <w:snapToGrid w:val="0"/>
              <w:spacing w:line="360" w:lineRule="auto"/>
              <w:rPr>
                <w:rFonts w:hAnsi="宋体" w:cs="宋体"/>
                <w:bCs/>
                <w:sz w:val="24"/>
                <w:szCs w:val="24"/>
              </w:rPr>
            </w:pPr>
            <w:r>
              <w:rPr>
                <w:rFonts w:hint="eastAsia" w:hAnsi="宋体"/>
                <w:sz w:val="24"/>
                <w:szCs w:val="24"/>
              </w:rPr>
              <w:t>谈判报价总计：</w:t>
            </w:r>
            <w:r>
              <w:rPr>
                <w:rFonts w:hint="eastAsia" w:hAnsi="宋体" w:cs="宋体"/>
                <w:bCs/>
                <w:sz w:val="24"/>
                <w:szCs w:val="24"/>
              </w:rPr>
              <w:t>（大写）人民币</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万</w:t>
            </w:r>
            <w:r>
              <w:rPr>
                <w:rFonts w:hint="eastAsia" w:hAnsi="宋体"/>
                <w:sz w:val="24"/>
                <w:szCs w:val="24"/>
                <w:u w:val="single"/>
              </w:rPr>
              <w:t xml:space="preserve">   </w:t>
            </w:r>
            <w:r>
              <w:rPr>
                <w:rFonts w:hint="eastAsia" w:hAnsi="宋体" w:cs="宋体"/>
                <w:bCs/>
                <w:sz w:val="24"/>
                <w:szCs w:val="24"/>
              </w:rPr>
              <w:t>仟</w:t>
            </w:r>
            <w:r>
              <w:rPr>
                <w:rFonts w:hint="eastAsia" w:hAnsi="宋体"/>
                <w:sz w:val="24"/>
                <w:szCs w:val="24"/>
                <w:u w:val="single"/>
              </w:rPr>
              <w:t xml:space="preserve">   </w:t>
            </w:r>
            <w:r>
              <w:rPr>
                <w:rFonts w:hint="eastAsia" w:hAnsi="宋体" w:cs="宋体"/>
                <w:bCs/>
                <w:sz w:val="24"/>
                <w:szCs w:val="24"/>
              </w:rPr>
              <w:t>佰</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元整</w:t>
            </w:r>
          </w:p>
          <w:p>
            <w:pPr>
              <w:spacing w:line="360" w:lineRule="auto"/>
              <w:ind w:firstLine="1680" w:firstLineChars="700"/>
              <w:rPr>
                <w:rFonts w:hAnsi="宋体"/>
                <w:sz w:val="24"/>
                <w:szCs w:val="24"/>
              </w:rPr>
            </w:pPr>
            <w:r>
              <w:rPr>
                <w:rFonts w:hint="eastAsia" w:hAnsi="宋体" w:cs="宋体"/>
                <w:bCs/>
                <w:sz w:val="24"/>
                <w:szCs w:val="24"/>
              </w:rPr>
              <w:t>（¥</w:t>
            </w:r>
            <w:r>
              <w:rPr>
                <w:rFonts w:hint="eastAsia" w:hAnsi="宋体"/>
                <w:sz w:val="24"/>
                <w:szCs w:val="24"/>
                <w:u w:val="single"/>
              </w:rPr>
              <w:t xml:space="preserve">               </w:t>
            </w:r>
            <w:r>
              <w:rPr>
                <w:rFonts w:hint="eastAsia" w:hAnsi="宋体" w:cs="宋体"/>
                <w:bCs/>
                <w:sz w:val="24"/>
                <w:szCs w:val="24"/>
              </w:rPr>
              <w:t>元）</w:t>
            </w: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spacing w:line="360" w:lineRule="auto"/>
        <w:rPr>
          <w:rFonts w:hAnsi="宋体"/>
          <w:sz w:val="24"/>
          <w:szCs w:val="24"/>
        </w:rPr>
      </w:pPr>
      <w:r>
        <w:rPr>
          <w:rFonts w:hAnsi="宋体"/>
          <w:sz w:val="24"/>
          <w:szCs w:val="24"/>
        </w:rPr>
        <w:t>注：(1)此表为表样，行数可自行添加，但表式不变。</w:t>
      </w:r>
    </w:p>
    <w:p>
      <w:pPr>
        <w:spacing w:line="360" w:lineRule="auto"/>
        <w:ind w:firstLine="600" w:firstLineChars="250"/>
        <w:rPr>
          <w:rFonts w:hAnsi="宋体"/>
          <w:sz w:val="24"/>
          <w:szCs w:val="24"/>
        </w:rPr>
      </w:pPr>
      <w:r>
        <w:rPr>
          <w:rFonts w:hAnsi="宋体"/>
          <w:sz w:val="24"/>
          <w:szCs w:val="24"/>
        </w:rPr>
        <w:t>(2)相关</w:t>
      </w:r>
      <w:r>
        <w:rPr>
          <w:rFonts w:hint="eastAsia" w:hAnsi="宋体"/>
          <w:sz w:val="24"/>
          <w:szCs w:val="24"/>
        </w:rPr>
        <w:t>的</w:t>
      </w:r>
      <w:r>
        <w:rPr>
          <w:rFonts w:hAnsi="宋体"/>
          <w:sz w:val="24"/>
          <w:szCs w:val="24"/>
        </w:rPr>
        <w:t>所有费用由</w:t>
      </w:r>
      <w:r>
        <w:rPr>
          <w:rFonts w:hint="eastAsia" w:hAnsi="宋体"/>
          <w:sz w:val="24"/>
          <w:szCs w:val="24"/>
        </w:rPr>
        <w:t>谈判供应商</w:t>
      </w:r>
      <w:r>
        <w:rPr>
          <w:rFonts w:hAnsi="宋体"/>
          <w:sz w:val="24"/>
          <w:szCs w:val="24"/>
        </w:rPr>
        <w:t>自行计算填列。</w:t>
      </w:r>
    </w:p>
    <w:p>
      <w:pPr>
        <w:spacing w:line="360" w:lineRule="auto"/>
        <w:ind w:firstLine="600" w:firstLineChars="250"/>
        <w:rPr>
          <w:rFonts w:hAnsi="宋体"/>
          <w:sz w:val="24"/>
          <w:szCs w:val="24"/>
        </w:rPr>
      </w:pPr>
      <w:r>
        <w:rPr>
          <w:rFonts w:hAnsi="宋体"/>
          <w:sz w:val="24"/>
          <w:szCs w:val="24"/>
        </w:rPr>
        <w:t>(3)总价=单价*数量，数量由</w:t>
      </w:r>
      <w:r>
        <w:rPr>
          <w:rFonts w:hint="eastAsia" w:hAnsi="宋体"/>
          <w:sz w:val="24"/>
          <w:szCs w:val="24"/>
        </w:rPr>
        <w:t>谈判供应商</w:t>
      </w:r>
      <w:r>
        <w:rPr>
          <w:rFonts w:hAnsi="宋体"/>
          <w:sz w:val="24"/>
          <w:szCs w:val="24"/>
        </w:rPr>
        <w:t>自行计算并填列。</w:t>
      </w:r>
    </w:p>
    <w:p>
      <w:pPr>
        <w:spacing w:line="360" w:lineRule="auto"/>
        <w:ind w:firstLine="600" w:firstLineChars="250"/>
        <w:rPr>
          <w:rFonts w:hAnsi="宋体"/>
          <w:sz w:val="24"/>
          <w:szCs w:val="24"/>
        </w:rPr>
      </w:pPr>
      <w:r>
        <w:rPr>
          <w:rFonts w:hAnsi="宋体"/>
          <w:sz w:val="24"/>
          <w:szCs w:val="24"/>
        </w:rPr>
        <w:t>(4)上表中的“</w:t>
      </w:r>
      <w:r>
        <w:rPr>
          <w:rFonts w:hint="eastAsia" w:hAnsi="宋体"/>
          <w:sz w:val="24"/>
          <w:szCs w:val="24"/>
        </w:rPr>
        <w:t>谈判报价</w:t>
      </w:r>
      <w:r>
        <w:rPr>
          <w:rFonts w:hAnsi="宋体"/>
          <w:sz w:val="24"/>
          <w:szCs w:val="24"/>
        </w:rPr>
        <w:t>总计”数应当等于“</w:t>
      </w:r>
      <w:r>
        <w:rPr>
          <w:rFonts w:hint="eastAsia" w:hAnsi="宋体"/>
          <w:sz w:val="24"/>
          <w:szCs w:val="24"/>
        </w:rPr>
        <w:t>报价</w:t>
      </w:r>
      <w:r>
        <w:rPr>
          <w:rFonts w:hAnsi="宋体"/>
          <w:sz w:val="24"/>
          <w:szCs w:val="24"/>
        </w:rPr>
        <w:t>一览表”中“</w:t>
      </w:r>
      <w:r>
        <w:rPr>
          <w:rFonts w:hint="eastAsia" w:hAnsi="宋体"/>
          <w:sz w:val="24"/>
          <w:szCs w:val="24"/>
        </w:rPr>
        <w:t>谈判</w:t>
      </w:r>
      <w:r>
        <w:rPr>
          <w:rFonts w:hAnsi="宋体"/>
          <w:sz w:val="24"/>
          <w:szCs w:val="24"/>
        </w:rPr>
        <w:t>报价总计”数。</w:t>
      </w:r>
    </w:p>
    <w:p>
      <w:pPr>
        <w:pStyle w:val="4"/>
        <w:spacing w:line="360" w:lineRule="auto"/>
        <w:rPr>
          <w:rFonts w:hAnsi="宋体"/>
          <w:sz w:val="30"/>
        </w:rPr>
      </w:pPr>
      <w:bookmarkStart w:id="86" w:name="_Toc334621296"/>
      <w:bookmarkStart w:id="87" w:name="_Toc6771"/>
      <w:r>
        <w:rPr>
          <w:rFonts w:hint="eastAsia" w:hAnsi="宋体"/>
          <w:sz w:val="30"/>
        </w:rPr>
        <w:t>4.技术要求响应表</w:t>
      </w:r>
      <w:bookmarkEnd w:id="86"/>
      <w:bookmarkEnd w:id="87"/>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78"/>
        <w:gridCol w:w="3005"/>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spacing w:line="400" w:lineRule="exact"/>
              <w:jc w:val="center"/>
              <w:rPr>
                <w:rFonts w:hAnsi="宋体"/>
                <w:sz w:val="24"/>
              </w:rPr>
            </w:pPr>
            <w:r>
              <w:rPr>
                <w:rFonts w:hint="eastAsia" w:hAnsi="宋体"/>
                <w:sz w:val="24"/>
              </w:rPr>
              <w:t>编号</w:t>
            </w:r>
          </w:p>
        </w:tc>
        <w:tc>
          <w:tcPr>
            <w:tcW w:w="3978" w:type="dxa"/>
            <w:vAlign w:val="center"/>
          </w:tcPr>
          <w:p>
            <w:pPr>
              <w:spacing w:line="400" w:lineRule="exact"/>
              <w:jc w:val="center"/>
              <w:rPr>
                <w:rFonts w:hAnsi="宋体"/>
                <w:sz w:val="24"/>
              </w:rPr>
            </w:pPr>
            <w:r>
              <w:rPr>
                <w:rFonts w:hint="eastAsia" w:hAnsi="宋体"/>
                <w:sz w:val="24"/>
              </w:rPr>
              <w:t>原技术规范主要条款描述</w:t>
            </w:r>
          </w:p>
        </w:tc>
        <w:tc>
          <w:tcPr>
            <w:tcW w:w="3005" w:type="dxa"/>
            <w:vAlign w:val="center"/>
          </w:tcPr>
          <w:p>
            <w:pPr>
              <w:spacing w:line="400" w:lineRule="exact"/>
              <w:jc w:val="center"/>
              <w:rPr>
                <w:rFonts w:hAnsi="宋体"/>
                <w:sz w:val="24"/>
              </w:rPr>
            </w:pPr>
            <w:r>
              <w:rPr>
                <w:rFonts w:hint="eastAsia" w:hAnsi="宋体"/>
                <w:sz w:val="24"/>
              </w:rPr>
              <w:t>谈判供应商技术规范描述</w:t>
            </w:r>
          </w:p>
        </w:tc>
        <w:tc>
          <w:tcPr>
            <w:tcW w:w="737" w:type="dxa"/>
            <w:vAlign w:val="center"/>
          </w:tcPr>
          <w:p>
            <w:pPr>
              <w:spacing w:line="400" w:lineRule="exact"/>
              <w:jc w:val="center"/>
              <w:rPr>
                <w:rFonts w:hAnsi="宋体"/>
                <w:sz w:val="24"/>
              </w:rPr>
            </w:pPr>
            <w:r>
              <w:rPr>
                <w:rFonts w:hint="eastAsia" w:hAnsi="宋体"/>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hAnsi="宋体" w:cs="宋体"/>
                <w:szCs w:val="21"/>
              </w:rPr>
            </w:pPr>
            <w:r>
              <w:rPr>
                <w:rFonts w:hint="eastAsia" w:ascii="仿宋_GB2312" w:eastAsia="仿宋_GB2312"/>
                <w:sz w:val="24"/>
              </w:rPr>
              <w:t>1</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2</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808" w:type="dxa"/>
            <w:vAlign w:val="center"/>
          </w:tcPr>
          <w:p>
            <w:pPr>
              <w:jc w:val="center"/>
              <w:rPr>
                <w:rFonts w:hAnsi="宋体" w:cs="宋体"/>
                <w:szCs w:val="21"/>
              </w:rPr>
            </w:pPr>
            <w:r>
              <w:rPr>
                <w:rFonts w:hint="eastAsia" w:ascii="仿宋_GB2312" w:eastAsia="仿宋_GB2312"/>
                <w:sz w:val="24"/>
              </w:rPr>
              <w:t>3</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4</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5</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6</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808" w:type="dxa"/>
            <w:vAlign w:val="center"/>
          </w:tcPr>
          <w:p>
            <w:pPr>
              <w:widowControl/>
              <w:jc w:val="center"/>
              <w:rPr>
                <w:rFonts w:hAnsi="宋体" w:cs="宋体"/>
                <w:szCs w:val="21"/>
              </w:rPr>
            </w:pPr>
            <w:r>
              <w:rPr>
                <w:rFonts w:hint="eastAsia" w:ascii="仿宋_GB2312" w:eastAsia="仿宋_GB2312"/>
                <w:sz w:val="24"/>
              </w:rPr>
              <w:t>7</w:t>
            </w:r>
          </w:p>
        </w:tc>
        <w:tc>
          <w:tcPr>
            <w:tcW w:w="3978" w:type="dxa"/>
            <w:vAlign w:val="center"/>
          </w:tcPr>
          <w:p>
            <w:pPr>
              <w:widowControl/>
              <w:rPr>
                <w:rFonts w:hAnsi="宋体" w:cs="宋体"/>
                <w:szCs w:val="21"/>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8</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9</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10</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spacing w:line="360" w:lineRule="auto"/>
        <w:rPr>
          <w:rFonts w:hAnsi="宋体"/>
          <w:sz w:val="24"/>
        </w:rPr>
      </w:pPr>
      <w:r>
        <w:rPr>
          <w:rFonts w:hint="eastAsia" w:hAnsi="宋体"/>
          <w:sz w:val="24"/>
        </w:rPr>
        <w:t>注：（</w:t>
      </w:r>
      <w:r>
        <w:rPr>
          <w:rFonts w:hAnsi="宋体"/>
          <w:sz w:val="24"/>
        </w:rPr>
        <w:t>1</w:t>
      </w:r>
      <w:r>
        <w:rPr>
          <w:rFonts w:hint="eastAsia" w:hAnsi="宋体"/>
          <w:sz w:val="24"/>
        </w:rPr>
        <w:t>）</w:t>
      </w:r>
      <w:r>
        <w:rPr>
          <w:rFonts w:hAnsi="宋体"/>
          <w:sz w:val="24"/>
        </w:rPr>
        <w:t>此表为表样，行数可自行添加，但表式不变。</w:t>
      </w:r>
    </w:p>
    <w:p>
      <w:pPr>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）谈判供应商</w:t>
      </w:r>
      <w:r>
        <w:rPr>
          <w:rFonts w:hAnsi="宋体"/>
          <w:sz w:val="24"/>
        </w:rPr>
        <w:t>根据系统方案添加的设备、材料等也请列出</w:t>
      </w:r>
    </w:p>
    <w:p>
      <w:pPr>
        <w:spacing w:line="360" w:lineRule="auto"/>
        <w:ind w:firstLine="480" w:firstLineChars="200"/>
        <w:rPr>
          <w:rFonts w:hAnsi="宋体"/>
          <w:sz w:val="24"/>
          <w:szCs w:val="24"/>
        </w:rPr>
      </w:pPr>
      <w:r>
        <w:rPr>
          <w:rFonts w:hint="eastAsia" w:hAnsi="宋体"/>
          <w:sz w:val="24"/>
        </w:rPr>
        <w:t>（</w:t>
      </w:r>
      <w:r>
        <w:rPr>
          <w:rFonts w:hAnsi="宋体"/>
          <w:sz w:val="24"/>
        </w:rPr>
        <w:t>3</w:t>
      </w:r>
      <w:r>
        <w:rPr>
          <w:rFonts w:hint="eastAsia" w:hAnsi="宋体"/>
          <w:sz w:val="24"/>
        </w:rPr>
        <w:t>）</w:t>
      </w:r>
      <w:r>
        <w:rPr>
          <w:rFonts w:hAnsi="宋体"/>
          <w:sz w:val="24"/>
        </w:rPr>
        <w:t>是否偏离用符号“+、=、-”分别表示正偏离、完全响应、负偏离</w:t>
      </w:r>
    </w:p>
    <w:p>
      <w:pPr>
        <w:pStyle w:val="4"/>
        <w:spacing w:line="360" w:lineRule="auto"/>
        <w:rPr>
          <w:rFonts w:hAnsi="宋体"/>
          <w:sz w:val="30"/>
        </w:rPr>
      </w:pPr>
      <w:bookmarkStart w:id="88" w:name="_Toc213839799"/>
      <w:bookmarkStart w:id="89" w:name="_Toc196890854"/>
      <w:bookmarkStart w:id="90" w:name="_Toc279410011"/>
      <w:bookmarkStart w:id="91" w:name="_Toc22892"/>
      <w:r>
        <w:rPr>
          <w:rFonts w:hint="eastAsia" w:hAnsi="宋体"/>
          <w:sz w:val="30"/>
        </w:rPr>
        <w:t>5</w:t>
      </w:r>
      <w:r>
        <w:rPr>
          <w:rFonts w:hAnsi="宋体"/>
          <w:sz w:val="30"/>
        </w:rPr>
        <w:t>.</w:t>
      </w:r>
      <w:bookmarkEnd w:id="88"/>
      <w:bookmarkEnd w:id="89"/>
      <w:r>
        <w:rPr>
          <w:rFonts w:hint="eastAsia" w:hAnsi="宋体"/>
          <w:sz w:val="30"/>
        </w:rPr>
        <w:t>服务质量及服务承诺书</w:t>
      </w:r>
      <w:bookmarkEnd w:id="90"/>
      <w:bookmarkEnd w:id="91"/>
    </w:p>
    <w:p>
      <w:pPr>
        <w:widowControl/>
        <w:spacing w:line="360" w:lineRule="auto"/>
        <w:ind w:firstLine="480" w:firstLineChars="200"/>
        <w:rPr>
          <w:rFonts w:hAnsi="宋体"/>
          <w:b/>
          <w:sz w:val="24"/>
          <w:szCs w:val="24"/>
        </w:rPr>
      </w:pPr>
      <w:r>
        <w:rPr>
          <w:rFonts w:hint="eastAsia" w:hAnsi="宋体"/>
          <w:sz w:val="24"/>
          <w:szCs w:val="24"/>
        </w:rPr>
        <w:t>此承诺由谈判供应商根据自身实际情况并结合谈判采购文件相关要求据实填写，格式由谈判供应商自定。</w:t>
      </w:r>
    </w:p>
    <w:p>
      <w:pPr>
        <w:spacing w:line="360" w:lineRule="auto"/>
        <w:rPr>
          <w:rFonts w:hAnsi="宋体"/>
          <w:sz w:val="24"/>
          <w:szCs w:val="24"/>
        </w:rPr>
      </w:pPr>
    </w:p>
    <w:p>
      <w:pPr>
        <w:spacing w:line="360" w:lineRule="auto"/>
        <w:rPr>
          <w:rFonts w:hAnsi="宋体"/>
          <w:b/>
          <w:i/>
          <w:sz w:val="24"/>
          <w:szCs w:val="24"/>
        </w:rPr>
      </w:pPr>
      <w:r>
        <w:rPr>
          <w:rFonts w:hint="eastAsia" w:hAnsi="宋体"/>
          <w:b/>
          <w:i/>
          <w:sz w:val="24"/>
          <w:szCs w:val="24"/>
        </w:rPr>
        <w:t>注： 1-5项为必须提供的内容，须授权代表签字并加盖谈判供应商单位公章，未提供或未按要求提供将不能通过符合性审查。</w:t>
      </w:r>
    </w:p>
    <w:p>
      <w:pPr>
        <w:pStyle w:val="3"/>
        <w:spacing w:line="360" w:lineRule="auto"/>
        <w:rPr>
          <w:rFonts w:ascii="宋体" w:hAnsi="宋体" w:eastAsia="宋体"/>
        </w:rPr>
      </w:pPr>
      <w:bookmarkStart w:id="92" w:name="_Toc29656"/>
      <w:bookmarkStart w:id="93" w:name="_Toc279410012"/>
      <w:bookmarkStart w:id="94" w:name="_Toc239251050"/>
      <w:r>
        <w:rPr>
          <w:rFonts w:hint="eastAsia" w:ascii="宋体" w:hAnsi="宋体" w:eastAsia="宋体"/>
        </w:rPr>
        <w:t>二、资格证明文件</w:t>
      </w:r>
      <w:bookmarkEnd w:id="92"/>
      <w:bookmarkEnd w:id="93"/>
      <w:bookmarkEnd w:id="94"/>
    </w:p>
    <w:p>
      <w:pPr>
        <w:pStyle w:val="4"/>
        <w:spacing w:line="360" w:lineRule="auto"/>
        <w:rPr>
          <w:rFonts w:hAnsi="宋体"/>
          <w:sz w:val="30"/>
        </w:rPr>
      </w:pPr>
      <w:bookmarkStart w:id="95" w:name="_Toc6974"/>
      <w:bookmarkStart w:id="96" w:name="_Toc239251051"/>
      <w:bookmarkStart w:id="97" w:name="_Toc279410013"/>
      <w:r>
        <w:rPr>
          <w:rFonts w:hint="eastAsia" w:hAnsi="宋体"/>
          <w:sz w:val="30"/>
        </w:rPr>
        <w:t>1.资质证书</w:t>
      </w:r>
      <w:bookmarkEnd w:id="95"/>
    </w:p>
    <w:p>
      <w:pPr>
        <w:spacing w:line="360" w:lineRule="auto"/>
        <w:rPr>
          <w:rFonts w:hAnsi="宋体"/>
          <w:sz w:val="24"/>
          <w:szCs w:val="28"/>
        </w:rPr>
      </w:pPr>
      <w:r>
        <w:rPr>
          <w:rFonts w:hint="eastAsia" w:hAnsi="宋体"/>
          <w:sz w:val="24"/>
          <w:szCs w:val="24"/>
        </w:rPr>
        <w:t>营业执照</w:t>
      </w:r>
      <w:bookmarkEnd w:id="96"/>
      <w:bookmarkEnd w:id="97"/>
      <w:r>
        <w:rPr>
          <w:rFonts w:hint="eastAsia" w:hAnsi="宋体"/>
          <w:sz w:val="24"/>
          <w:szCs w:val="24"/>
        </w:rPr>
        <w:t>、组织机构代码证、税务登记证等。</w:t>
      </w:r>
    </w:p>
    <w:p>
      <w:pPr>
        <w:spacing w:line="360" w:lineRule="auto"/>
        <w:rPr>
          <w:rFonts w:hAnsi="宋体"/>
          <w:sz w:val="24"/>
          <w:szCs w:val="24"/>
        </w:rPr>
      </w:pPr>
      <w:r>
        <w:rPr>
          <w:rFonts w:hint="eastAsia" w:hAnsi="宋体"/>
          <w:sz w:val="24"/>
          <w:szCs w:val="24"/>
        </w:rPr>
        <w:t>以上资料原件携至现场备查。</w:t>
      </w:r>
    </w:p>
    <w:p>
      <w:pPr>
        <w:pStyle w:val="4"/>
        <w:spacing w:line="360" w:lineRule="auto"/>
        <w:rPr>
          <w:rFonts w:hAnsi="宋体"/>
        </w:rPr>
      </w:pPr>
      <w:bookmarkStart w:id="98" w:name="_Toc279410014"/>
      <w:bookmarkStart w:id="99" w:name="_Toc2814"/>
      <w:bookmarkStart w:id="100" w:name="_Toc239251052"/>
      <w:r>
        <w:rPr>
          <w:rFonts w:hint="eastAsia" w:hAnsi="宋体"/>
        </w:rPr>
        <w:t>2.法人授权委托书</w:t>
      </w:r>
      <w:bookmarkEnd w:id="98"/>
      <w:bookmarkEnd w:id="99"/>
      <w:bookmarkEnd w:id="100"/>
    </w:p>
    <w:p>
      <w:pPr>
        <w:spacing w:line="360" w:lineRule="auto"/>
        <w:jc w:val="center"/>
        <w:rPr>
          <w:rFonts w:hAnsi="宋体"/>
          <w:b/>
          <w:sz w:val="30"/>
        </w:rPr>
      </w:pPr>
      <w:r>
        <w:rPr>
          <w:rFonts w:hint="eastAsia" w:hAnsi="宋体"/>
          <w:b/>
          <w:sz w:val="30"/>
        </w:rPr>
        <w:t>法人授权委托书</w:t>
      </w:r>
    </w:p>
    <w:p>
      <w:pPr>
        <w:spacing w:line="360" w:lineRule="auto"/>
        <w:rPr>
          <w:rFonts w:hAnsi="宋体"/>
          <w:sz w:val="24"/>
          <w:szCs w:val="24"/>
        </w:rPr>
      </w:pPr>
      <w:r>
        <w:rPr>
          <w:rFonts w:hint="eastAsia" w:hAnsi="宋体"/>
          <w:sz w:val="24"/>
          <w:szCs w:val="24"/>
        </w:rPr>
        <w:t>致南京审计大学：</w:t>
      </w:r>
    </w:p>
    <w:p>
      <w:pPr>
        <w:spacing w:line="360" w:lineRule="auto"/>
        <w:rPr>
          <w:rFonts w:hAnsi="宋体"/>
          <w:sz w:val="24"/>
          <w:szCs w:val="24"/>
        </w:rPr>
      </w:pPr>
      <w:r>
        <w:rPr>
          <w:rFonts w:hint="eastAsia" w:hAnsi="宋体"/>
          <w:sz w:val="24"/>
          <w:szCs w:val="24"/>
        </w:rPr>
        <w:t xml:space="preserve">    本授权书宣告：</w:t>
      </w:r>
    </w:p>
    <w:p>
      <w:pPr>
        <w:snapToGrid w:val="0"/>
        <w:spacing w:line="360" w:lineRule="auto"/>
        <w:rPr>
          <w:rFonts w:hAnsi="宋体"/>
          <w:sz w:val="24"/>
          <w:szCs w:val="24"/>
          <w:u w:val="single"/>
        </w:rPr>
      </w:pPr>
      <w:r>
        <w:rPr>
          <w:rFonts w:hint="eastAsia" w:hAnsi="宋体"/>
          <w:sz w:val="24"/>
          <w:szCs w:val="24"/>
        </w:rPr>
        <w:t>委托人：</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地    址：</w:t>
      </w:r>
      <w:r>
        <w:rPr>
          <w:rFonts w:hint="eastAsia" w:hAnsi="宋体"/>
          <w:sz w:val="24"/>
          <w:szCs w:val="24"/>
          <w:u w:val="single"/>
        </w:rPr>
        <w:t xml:space="preserve">        </w:t>
      </w:r>
      <w:r>
        <w:rPr>
          <w:rFonts w:hint="eastAsia" w:hAnsi="宋体"/>
          <w:sz w:val="24"/>
          <w:szCs w:val="24"/>
        </w:rPr>
        <w:t xml:space="preserve"> 法定代表人：</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受托人：</w:t>
      </w:r>
      <w:r>
        <w:rPr>
          <w:rFonts w:hint="eastAsia" w:hAnsi="宋体"/>
          <w:sz w:val="24"/>
          <w:szCs w:val="24"/>
          <w:u w:val="single"/>
        </w:rPr>
        <w:t xml:space="preserve">         </w:t>
      </w:r>
      <w:r>
        <w:rPr>
          <w:rFonts w:hint="eastAsia" w:hAnsi="宋体"/>
          <w:sz w:val="24"/>
          <w:szCs w:val="24"/>
        </w:rPr>
        <w:t>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 xml:space="preserve"> 出生日期：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snapToGrid w:val="0"/>
        <w:spacing w:line="360" w:lineRule="auto"/>
        <w:rPr>
          <w:rFonts w:hAnsi="宋体"/>
          <w:sz w:val="24"/>
          <w:szCs w:val="24"/>
        </w:rPr>
      </w:pPr>
      <w:r>
        <w:rPr>
          <w:rFonts w:hint="eastAsia" w:hAnsi="宋体"/>
          <w:sz w:val="24"/>
          <w:szCs w:val="24"/>
        </w:rPr>
        <w:t>所在单位：</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身份证：</w:t>
      </w:r>
      <w:r>
        <w:rPr>
          <w:rFonts w:hint="eastAsia" w:hAnsi="宋体"/>
          <w:sz w:val="24"/>
          <w:szCs w:val="24"/>
          <w:u w:val="single"/>
        </w:rPr>
        <w:t xml:space="preserve">      </w:t>
      </w:r>
      <w:r>
        <w:rPr>
          <w:rFonts w:hint="eastAsia" w:hAnsi="宋体"/>
          <w:sz w:val="24"/>
          <w:szCs w:val="24"/>
        </w:rPr>
        <w:t>联系方式:</w:t>
      </w:r>
      <w:r>
        <w:rPr>
          <w:rFonts w:hint="eastAsia" w:hAnsi="宋体"/>
          <w:sz w:val="24"/>
          <w:szCs w:val="24"/>
          <w:u w:val="single"/>
        </w:rPr>
        <w:t xml:space="preserve">      </w:t>
      </w:r>
    </w:p>
    <w:p>
      <w:pPr>
        <w:spacing w:line="360" w:lineRule="auto"/>
        <w:ind w:firstLine="425" w:firstLineChars="177"/>
        <w:rPr>
          <w:rFonts w:hAnsi="宋体"/>
          <w:sz w:val="24"/>
          <w:szCs w:val="24"/>
        </w:rPr>
      </w:pPr>
      <w:r>
        <w:rPr>
          <w:rFonts w:hint="eastAsia" w:hAnsi="宋体"/>
          <w:sz w:val="24"/>
          <w:szCs w:val="24"/>
        </w:rPr>
        <w:t>兹委托受托人合法地代表我单位参加南京审计大学组织的</w:t>
      </w:r>
      <w:r>
        <w:rPr>
          <w:rFonts w:hint="eastAsia" w:hAnsi="宋体"/>
          <w:sz w:val="24"/>
          <w:szCs w:val="24"/>
          <w:u w:val="single"/>
        </w:rPr>
        <w:t xml:space="preserve">    </w:t>
      </w:r>
      <w:r>
        <w:rPr>
          <w:rFonts w:hint="eastAsia" w:hAnsi="宋体"/>
          <w:sz w:val="24"/>
          <w:szCs w:val="24"/>
        </w:rPr>
        <w:t>（采购编号为：</w:t>
      </w:r>
      <w:r>
        <w:rPr>
          <w:rFonts w:hint="eastAsia" w:hAnsi="宋体"/>
          <w:sz w:val="24"/>
          <w:szCs w:val="24"/>
          <w:u w:val="single"/>
        </w:rPr>
        <w:t xml:space="preserve">      </w:t>
      </w:r>
      <w:r>
        <w:rPr>
          <w:rFonts w:hint="eastAsia" w:hAnsi="宋体"/>
          <w:sz w:val="24"/>
          <w:szCs w:val="24"/>
        </w:rPr>
        <w:t>）采购项目的竞争性谈判采购活动，受托人有权在该投标活动中，以我单位的名义签署竞争性谈判函和谈判文件，与采购人协商、澄清、解释，质疑，签订合同书并执行一切与此有关的事项。</w:t>
      </w:r>
    </w:p>
    <w:p>
      <w:pPr>
        <w:snapToGrid w:val="0"/>
        <w:spacing w:line="360" w:lineRule="auto"/>
        <w:rPr>
          <w:rFonts w:hAnsi="宋体" w:cs="宋体"/>
          <w:sz w:val="24"/>
          <w:szCs w:val="24"/>
        </w:rPr>
      </w:pPr>
      <w:r>
        <w:rPr>
          <w:rFonts w:hint="eastAsia" w:hAnsi="宋体"/>
          <w:sz w:val="24"/>
          <w:szCs w:val="24"/>
        </w:rPr>
        <w:t xml:space="preserve">    受托人在办理上述事宜过程中以其自己的名义所签署的所有文件我均予以承认。受托人无转委托权。</w:t>
      </w:r>
    </w:p>
    <w:p>
      <w:pPr>
        <w:snapToGrid w:val="0"/>
        <w:spacing w:line="360" w:lineRule="auto"/>
        <w:ind w:firstLine="480" w:firstLineChars="200"/>
        <w:rPr>
          <w:rFonts w:hAnsi="宋体"/>
          <w:sz w:val="24"/>
          <w:szCs w:val="24"/>
        </w:rPr>
      </w:pPr>
      <w:r>
        <w:rPr>
          <w:rFonts w:hint="eastAsia" w:hAnsi="宋体"/>
          <w:sz w:val="24"/>
          <w:szCs w:val="24"/>
        </w:rPr>
        <w:t>委托期限：至上述事宜处理完毕止。</w:t>
      </w:r>
    </w:p>
    <w:p>
      <w:pPr>
        <w:snapToGrid w:val="0"/>
        <w:spacing w:line="360" w:lineRule="auto"/>
        <w:rPr>
          <w:rFonts w:hAnsi="宋体"/>
          <w:sz w:val="24"/>
          <w:szCs w:val="24"/>
        </w:rPr>
      </w:pPr>
    </w:p>
    <w:p>
      <w:pPr>
        <w:snapToGrid w:val="0"/>
        <w:spacing w:line="360" w:lineRule="auto"/>
        <w:rPr>
          <w:rFonts w:hAnsi="宋体"/>
          <w:sz w:val="24"/>
          <w:szCs w:val="24"/>
          <w:u w:val="single"/>
        </w:rPr>
      </w:pPr>
      <w:r>
        <w:rPr>
          <w:rFonts w:hint="eastAsia" w:hAnsi="宋体"/>
          <w:sz w:val="24"/>
          <w:szCs w:val="24"/>
        </w:rPr>
        <w:t xml:space="preserve">委托单位   </w:t>
      </w:r>
      <w:r>
        <w:rPr>
          <w:rFonts w:hint="eastAsia" w:hAnsi="宋体"/>
          <w:sz w:val="24"/>
          <w:szCs w:val="24"/>
          <w:u w:val="single"/>
        </w:rPr>
        <w:t xml:space="preserve"> （公章）          </w:t>
      </w:r>
    </w:p>
    <w:p>
      <w:pPr>
        <w:snapToGrid w:val="0"/>
        <w:spacing w:line="360" w:lineRule="auto"/>
        <w:rPr>
          <w:rFonts w:hAnsi="宋体"/>
          <w:sz w:val="24"/>
          <w:szCs w:val="24"/>
          <w:u w:val="single"/>
        </w:rPr>
      </w:pPr>
      <w:r>
        <w:rPr>
          <w:rFonts w:hint="eastAsia" w:hAnsi="宋体"/>
          <w:sz w:val="24"/>
          <w:szCs w:val="24"/>
        </w:rPr>
        <w:t xml:space="preserve">法定代表人 </w:t>
      </w:r>
      <w:r>
        <w:rPr>
          <w:rFonts w:hint="eastAsia" w:hAnsi="宋体"/>
          <w:sz w:val="24"/>
          <w:szCs w:val="24"/>
          <w:u w:val="single"/>
        </w:rPr>
        <w:t xml:space="preserve"> （签名）          </w:t>
      </w:r>
    </w:p>
    <w:p>
      <w:pPr>
        <w:snapToGrid w:val="0"/>
        <w:spacing w:line="360" w:lineRule="auto"/>
        <w:rPr>
          <w:rFonts w:hAnsi="宋体"/>
          <w:sz w:val="24"/>
          <w:szCs w:val="24"/>
        </w:rPr>
      </w:pPr>
      <w:r>
        <w:rPr>
          <w:rFonts w:hint="eastAsia" w:hAnsi="宋体"/>
          <w:sz w:val="24"/>
          <w:szCs w:val="24"/>
        </w:rPr>
        <w:t>二〇一</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snapToGrid w:val="0"/>
        <w:spacing w:line="360" w:lineRule="auto"/>
        <w:ind w:firstLine="480" w:firstLineChars="200"/>
        <w:rPr>
          <w:rFonts w:ascii="仿宋_GB2312" w:hAnsi="华文仿宋" w:eastAsia="仿宋_GB2312"/>
          <w:sz w:val="24"/>
          <w:szCs w:val="24"/>
        </w:rPr>
      </w:pPr>
      <w:r>
        <w:rPr>
          <w:rFonts w:hint="eastAsia" w:ascii="仿宋_GB2312" w:hAnsi="华文仿宋" w:eastAsia="仿宋_GB2312"/>
          <w:sz w:val="24"/>
          <w:szCs w:val="24"/>
        </w:rPr>
        <w:t>备注：</w:t>
      </w:r>
    </w:p>
    <w:p>
      <w:pPr>
        <w:snapToGrid w:val="0"/>
        <w:spacing w:line="360" w:lineRule="auto"/>
        <w:ind w:firstLine="480" w:firstLineChars="200"/>
        <w:rPr>
          <w:rFonts w:ascii="仿宋_GB2312" w:hAnsi="华文仿宋" w:eastAsia="仿宋_GB2312"/>
          <w:sz w:val="24"/>
          <w:szCs w:val="24"/>
        </w:rPr>
      </w:pPr>
      <w:r>
        <w:rPr>
          <w:rFonts w:hint="eastAsia" w:ascii="仿宋_GB2312" w:hAnsi="华文仿宋" w:eastAsia="仿宋_GB2312"/>
          <w:sz w:val="24"/>
          <w:szCs w:val="24"/>
        </w:rPr>
        <w:t>（1）谈判供应商授权代表须在谈判响应文件递交截止时间前持授权书原件及本人身份证件办理交纳保证金、签名报到、递交谈判响应文件等事宜，谈判响应文件中则附授权书复印件。</w:t>
      </w:r>
    </w:p>
    <w:p>
      <w:pPr>
        <w:wordWrap w:val="0"/>
        <w:spacing w:line="360" w:lineRule="auto"/>
        <w:jc w:val="right"/>
        <w:rPr>
          <w:rFonts w:ascii="仿宋_GB2312" w:hAnsi="华文仿宋" w:eastAsia="仿宋_GB2312"/>
          <w:sz w:val="24"/>
          <w:szCs w:val="24"/>
        </w:rPr>
      </w:pPr>
      <w:r>
        <w:rPr>
          <w:rFonts w:hint="eastAsia" w:ascii="仿宋_GB2312" w:hAnsi="华文仿宋" w:eastAsia="仿宋_GB2312"/>
          <w:sz w:val="24"/>
          <w:szCs w:val="24"/>
        </w:rPr>
        <w:t>（2）谈判供应商法定代表人直接参加谈判的，无须提供法人授权委托书，但须</w:t>
      </w:r>
    </w:p>
    <w:p>
      <w:pPr>
        <w:spacing w:line="360" w:lineRule="auto"/>
        <w:ind w:right="480"/>
        <w:rPr>
          <w:rFonts w:ascii="仿宋_GB2312" w:hAnsi="华文仿宋" w:eastAsia="仿宋_GB2312"/>
          <w:sz w:val="24"/>
          <w:szCs w:val="24"/>
        </w:rPr>
      </w:pPr>
      <w:r>
        <w:rPr>
          <w:rFonts w:hint="eastAsia" w:ascii="仿宋_GB2312" w:hAnsi="华文仿宋" w:eastAsia="仿宋_GB2312"/>
          <w:sz w:val="24"/>
          <w:szCs w:val="24"/>
        </w:rPr>
        <w:t>持本人身份证及营业执照复印件办理相关手续。</w:t>
      </w:r>
    </w:p>
    <w:p>
      <w:pPr>
        <w:pStyle w:val="4"/>
        <w:spacing w:line="360" w:lineRule="auto"/>
        <w:rPr>
          <w:rFonts w:hAnsi="宋体"/>
        </w:rPr>
      </w:pPr>
      <w:bookmarkStart w:id="101" w:name="_Toc27670"/>
      <w:r>
        <w:rPr>
          <w:rFonts w:hint="eastAsia" w:hAnsi="宋体"/>
        </w:rPr>
        <w:t>3.其他</w:t>
      </w:r>
      <w:bookmarkEnd w:id="101"/>
    </w:p>
    <w:p>
      <w:pPr>
        <w:snapToGrid w:val="0"/>
        <w:spacing w:line="360" w:lineRule="auto"/>
        <w:ind w:firstLine="480" w:firstLineChars="200"/>
        <w:rPr>
          <w:rFonts w:hAnsi="宋体"/>
          <w:sz w:val="24"/>
          <w:szCs w:val="24"/>
        </w:rPr>
      </w:pPr>
      <w:r>
        <w:rPr>
          <w:rFonts w:hint="eastAsia" w:hAnsi="宋体"/>
          <w:sz w:val="24"/>
          <w:szCs w:val="24"/>
        </w:rPr>
        <w:t>（企业资质证书、获奖证书等谈判供应商认为有必要提供的其它内容，格式自定）</w:t>
      </w:r>
    </w:p>
    <w:p>
      <w:pPr>
        <w:spacing w:line="360" w:lineRule="auto"/>
        <w:rPr>
          <w:rFonts w:hAnsi="宋体"/>
          <w:b/>
          <w:i/>
          <w:sz w:val="24"/>
          <w:szCs w:val="24"/>
        </w:rPr>
      </w:pPr>
    </w:p>
    <w:p>
      <w:pPr>
        <w:spacing w:line="360" w:lineRule="auto"/>
        <w:rPr>
          <w:rFonts w:hAnsi="宋体"/>
          <w:b/>
          <w:sz w:val="24"/>
          <w:szCs w:val="24"/>
        </w:rPr>
      </w:pPr>
      <w:r>
        <w:rPr>
          <w:rFonts w:hint="eastAsia" w:hAnsi="宋体"/>
          <w:b/>
          <w:i/>
          <w:sz w:val="24"/>
          <w:szCs w:val="24"/>
        </w:rPr>
        <w:t>注：1、2、3项为必须提供的内容，须授权代表签字并加盖谈判供应商单位公章，未提供或未按要求提供将不能通过资格性审查。</w:t>
      </w:r>
    </w:p>
    <w:sectPr>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华文仿宋">
    <w:altName w:val="仿宋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libri Light">
    <w:altName w:val="MV Boli"/>
    <w:panose1 w:val="020F0302020204030204"/>
    <w:charset w:val="00"/>
    <w:family w:val="swiss"/>
    <w:pitch w:val="default"/>
    <w:sig w:usb0="00000000" w:usb1="00000000" w:usb2="00000000" w:usb3="00000000" w:csb0="0000019F" w:csb1="00000000"/>
  </w:font>
  <w:font w:name="??">
    <w:altName w:val="Times New Roman"/>
    <w:panose1 w:val="00000000000000000000"/>
    <w:charset w:val="00"/>
    <w:family w:val="auto"/>
    <w:pitch w:val="default"/>
    <w:sig w:usb0="00000000" w:usb1="00000000" w:usb2="00000000" w:usb3="00000000" w:csb0="00000001" w:csb1="00000000"/>
  </w:font>
  <w:font w:name="MS PGothic">
    <w:panose1 w:val="020B0600070205080204"/>
    <w:charset w:val="80"/>
    <w:family w:val="swiss"/>
    <w:pitch w:val="default"/>
    <w:sig w:usb0="A00002BF" w:usb1="68C7FCFB" w:usb2="00000010" w:usb3="00000000" w:csb0="4002009F" w:csb1="DFD70000"/>
  </w:font>
  <w:font w:name="??_GB2312">
    <w:altName w:val="Times New Roman"/>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0" w:usb1="00000000" w:usb2="00000100" w:usb3="00000000" w:csb0="00000000" w:csb1="00000000"/>
  </w:font>
  <w:font w:name="PMingLiU">
    <w:panose1 w:val="02020300000000000000"/>
    <w:charset w:val="88"/>
    <w:family w:val="auto"/>
    <w:pitch w:val="default"/>
    <w:sig w:usb0="00000003" w:usb1="082E0000"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Pr>
      <w:t>29</w:t>
    </w:r>
    <w:r>
      <w:fldChar w:fldCharType="end"/>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72B2"/>
    <w:multiLevelType w:val="singleLevel"/>
    <w:tmpl w:val="584672B2"/>
    <w:lvl w:ilvl="0" w:tentative="0">
      <w:start w:val="1"/>
      <w:numFmt w:val="chineseCounting"/>
      <w:suff w:val="nothing"/>
      <w:lvlText w:val="%1、"/>
      <w:lvlJc w:val="left"/>
    </w:lvl>
  </w:abstractNum>
  <w:abstractNum w:abstractNumId="1">
    <w:nsid w:val="5846730B"/>
    <w:multiLevelType w:val="singleLevel"/>
    <w:tmpl w:val="5846730B"/>
    <w:lvl w:ilvl="0" w:tentative="0">
      <w:start w:val="2"/>
      <w:numFmt w:val="chineseCounting"/>
      <w:suff w:val="nothing"/>
      <w:lvlText w:val="%1、"/>
      <w:lvlJc w:val="left"/>
    </w:lvl>
  </w:abstractNum>
  <w:abstractNum w:abstractNumId="2">
    <w:nsid w:val="692D2611"/>
    <w:multiLevelType w:val="multilevel"/>
    <w:tmpl w:val="692D26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4646DA"/>
    <w:multiLevelType w:val="multilevel"/>
    <w:tmpl w:val="794646DA"/>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08"/>
    <w:rsid w:val="00000065"/>
    <w:rsid w:val="00002458"/>
    <w:rsid w:val="00002888"/>
    <w:rsid w:val="00003B6F"/>
    <w:rsid w:val="000051E4"/>
    <w:rsid w:val="00007DE1"/>
    <w:rsid w:val="00012483"/>
    <w:rsid w:val="00016E67"/>
    <w:rsid w:val="0002058B"/>
    <w:rsid w:val="00020D86"/>
    <w:rsid w:val="00021BE9"/>
    <w:rsid w:val="00024677"/>
    <w:rsid w:val="00025516"/>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7625E"/>
    <w:rsid w:val="0008008B"/>
    <w:rsid w:val="000812AA"/>
    <w:rsid w:val="000846DE"/>
    <w:rsid w:val="000856A0"/>
    <w:rsid w:val="000865DD"/>
    <w:rsid w:val="00086741"/>
    <w:rsid w:val="0008740B"/>
    <w:rsid w:val="00090DC8"/>
    <w:rsid w:val="00090F5C"/>
    <w:rsid w:val="00091E38"/>
    <w:rsid w:val="00095CDA"/>
    <w:rsid w:val="000A0BA8"/>
    <w:rsid w:val="000A2D68"/>
    <w:rsid w:val="000A644C"/>
    <w:rsid w:val="000A70F3"/>
    <w:rsid w:val="000B604A"/>
    <w:rsid w:val="000B79BF"/>
    <w:rsid w:val="000C25E1"/>
    <w:rsid w:val="000C27B6"/>
    <w:rsid w:val="000C42B8"/>
    <w:rsid w:val="000C5D77"/>
    <w:rsid w:val="000C7454"/>
    <w:rsid w:val="000C7A99"/>
    <w:rsid w:val="000D01E7"/>
    <w:rsid w:val="000D44BF"/>
    <w:rsid w:val="000E707C"/>
    <w:rsid w:val="0010319E"/>
    <w:rsid w:val="00104058"/>
    <w:rsid w:val="00112B60"/>
    <w:rsid w:val="00113B1F"/>
    <w:rsid w:val="001179E5"/>
    <w:rsid w:val="00117E42"/>
    <w:rsid w:val="00117FC1"/>
    <w:rsid w:val="001206AE"/>
    <w:rsid w:val="0012143F"/>
    <w:rsid w:val="00121701"/>
    <w:rsid w:val="00123646"/>
    <w:rsid w:val="00124396"/>
    <w:rsid w:val="00126419"/>
    <w:rsid w:val="00127F12"/>
    <w:rsid w:val="001336CE"/>
    <w:rsid w:val="00134518"/>
    <w:rsid w:val="00135D93"/>
    <w:rsid w:val="001408C2"/>
    <w:rsid w:val="00143488"/>
    <w:rsid w:val="00143A90"/>
    <w:rsid w:val="00144077"/>
    <w:rsid w:val="00146B77"/>
    <w:rsid w:val="0014720C"/>
    <w:rsid w:val="0015065C"/>
    <w:rsid w:val="00153AA0"/>
    <w:rsid w:val="00156F42"/>
    <w:rsid w:val="00161F3E"/>
    <w:rsid w:val="00162445"/>
    <w:rsid w:val="00164DC5"/>
    <w:rsid w:val="0017730F"/>
    <w:rsid w:val="00181085"/>
    <w:rsid w:val="00182B3B"/>
    <w:rsid w:val="00184598"/>
    <w:rsid w:val="0018587F"/>
    <w:rsid w:val="00185A1C"/>
    <w:rsid w:val="001877DB"/>
    <w:rsid w:val="00196CC8"/>
    <w:rsid w:val="001A5856"/>
    <w:rsid w:val="001A7722"/>
    <w:rsid w:val="001B0A0C"/>
    <w:rsid w:val="001B3013"/>
    <w:rsid w:val="001B4931"/>
    <w:rsid w:val="001B4B75"/>
    <w:rsid w:val="001B60F9"/>
    <w:rsid w:val="001B6246"/>
    <w:rsid w:val="001B6CFB"/>
    <w:rsid w:val="001C091E"/>
    <w:rsid w:val="001C2CE0"/>
    <w:rsid w:val="001C4EAC"/>
    <w:rsid w:val="001D04B4"/>
    <w:rsid w:val="001D04F9"/>
    <w:rsid w:val="001D1033"/>
    <w:rsid w:val="001D4A41"/>
    <w:rsid w:val="001F0608"/>
    <w:rsid w:val="001F1F9E"/>
    <w:rsid w:val="0020605D"/>
    <w:rsid w:val="002072A9"/>
    <w:rsid w:val="00207375"/>
    <w:rsid w:val="0021344D"/>
    <w:rsid w:val="00217832"/>
    <w:rsid w:val="002222EB"/>
    <w:rsid w:val="002239C9"/>
    <w:rsid w:val="002248ED"/>
    <w:rsid w:val="00236265"/>
    <w:rsid w:val="002362AC"/>
    <w:rsid w:val="00241684"/>
    <w:rsid w:val="00244F54"/>
    <w:rsid w:val="002455EF"/>
    <w:rsid w:val="002613E0"/>
    <w:rsid w:val="00261DCF"/>
    <w:rsid w:val="00264230"/>
    <w:rsid w:val="002646EA"/>
    <w:rsid w:val="00266BEC"/>
    <w:rsid w:val="00266D98"/>
    <w:rsid w:val="00267A5B"/>
    <w:rsid w:val="00267FD4"/>
    <w:rsid w:val="00273530"/>
    <w:rsid w:val="002756FB"/>
    <w:rsid w:val="00275F43"/>
    <w:rsid w:val="00280394"/>
    <w:rsid w:val="00281979"/>
    <w:rsid w:val="00283BC4"/>
    <w:rsid w:val="00291A3C"/>
    <w:rsid w:val="00292D7B"/>
    <w:rsid w:val="00293FFD"/>
    <w:rsid w:val="0029485E"/>
    <w:rsid w:val="002955EA"/>
    <w:rsid w:val="002A3944"/>
    <w:rsid w:val="002B066A"/>
    <w:rsid w:val="002B211A"/>
    <w:rsid w:val="002C26B2"/>
    <w:rsid w:val="002C36B3"/>
    <w:rsid w:val="002C454D"/>
    <w:rsid w:val="002D04D7"/>
    <w:rsid w:val="002D0B34"/>
    <w:rsid w:val="002D3DB1"/>
    <w:rsid w:val="002D51D8"/>
    <w:rsid w:val="002E1BB1"/>
    <w:rsid w:val="002E24B5"/>
    <w:rsid w:val="002E4945"/>
    <w:rsid w:val="002E7EB7"/>
    <w:rsid w:val="002F0ED5"/>
    <w:rsid w:val="002F307E"/>
    <w:rsid w:val="002F3E1C"/>
    <w:rsid w:val="002F4677"/>
    <w:rsid w:val="002F7220"/>
    <w:rsid w:val="00301E78"/>
    <w:rsid w:val="003033A8"/>
    <w:rsid w:val="003076BC"/>
    <w:rsid w:val="00311C5D"/>
    <w:rsid w:val="003138CD"/>
    <w:rsid w:val="00313935"/>
    <w:rsid w:val="003164CD"/>
    <w:rsid w:val="003172AF"/>
    <w:rsid w:val="003214EE"/>
    <w:rsid w:val="003243E0"/>
    <w:rsid w:val="00325247"/>
    <w:rsid w:val="00325860"/>
    <w:rsid w:val="00326DA3"/>
    <w:rsid w:val="003310D4"/>
    <w:rsid w:val="00333382"/>
    <w:rsid w:val="00344504"/>
    <w:rsid w:val="0035630D"/>
    <w:rsid w:val="00357BEC"/>
    <w:rsid w:val="0036230B"/>
    <w:rsid w:val="00363C1A"/>
    <w:rsid w:val="00366002"/>
    <w:rsid w:val="0037294F"/>
    <w:rsid w:val="00372B19"/>
    <w:rsid w:val="003754B4"/>
    <w:rsid w:val="00376045"/>
    <w:rsid w:val="003830BE"/>
    <w:rsid w:val="00384655"/>
    <w:rsid w:val="003853E1"/>
    <w:rsid w:val="003858C4"/>
    <w:rsid w:val="003A2948"/>
    <w:rsid w:val="003A3921"/>
    <w:rsid w:val="003A61E7"/>
    <w:rsid w:val="003B2555"/>
    <w:rsid w:val="003B774F"/>
    <w:rsid w:val="003C0497"/>
    <w:rsid w:val="003C084E"/>
    <w:rsid w:val="003C2999"/>
    <w:rsid w:val="003C2C73"/>
    <w:rsid w:val="003C70F8"/>
    <w:rsid w:val="003D2099"/>
    <w:rsid w:val="003E0D56"/>
    <w:rsid w:val="003F19F2"/>
    <w:rsid w:val="003F1C36"/>
    <w:rsid w:val="003F2C33"/>
    <w:rsid w:val="003F2DC0"/>
    <w:rsid w:val="003F6751"/>
    <w:rsid w:val="00402253"/>
    <w:rsid w:val="004063B8"/>
    <w:rsid w:val="00406F8E"/>
    <w:rsid w:val="004156C7"/>
    <w:rsid w:val="00420894"/>
    <w:rsid w:val="00426D09"/>
    <w:rsid w:val="00431CCB"/>
    <w:rsid w:val="004371DB"/>
    <w:rsid w:val="00443AD7"/>
    <w:rsid w:val="004443E2"/>
    <w:rsid w:val="00444CC1"/>
    <w:rsid w:val="00445449"/>
    <w:rsid w:val="00445A2F"/>
    <w:rsid w:val="00450B28"/>
    <w:rsid w:val="00454882"/>
    <w:rsid w:val="0045584D"/>
    <w:rsid w:val="00457861"/>
    <w:rsid w:val="00460293"/>
    <w:rsid w:val="004615D3"/>
    <w:rsid w:val="00463824"/>
    <w:rsid w:val="00463AF4"/>
    <w:rsid w:val="004640FF"/>
    <w:rsid w:val="0047003B"/>
    <w:rsid w:val="00470E28"/>
    <w:rsid w:val="00484175"/>
    <w:rsid w:val="0048647D"/>
    <w:rsid w:val="004870EA"/>
    <w:rsid w:val="00487FBD"/>
    <w:rsid w:val="004915AA"/>
    <w:rsid w:val="004A0D12"/>
    <w:rsid w:val="004A400A"/>
    <w:rsid w:val="004A5A87"/>
    <w:rsid w:val="004B46BA"/>
    <w:rsid w:val="004B7FE9"/>
    <w:rsid w:val="004C0847"/>
    <w:rsid w:val="004C0C3F"/>
    <w:rsid w:val="004C1725"/>
    <w:rsid w:val="004C18B1"/>
    <w:rsid w:val="004C21E7"/>
    <w:rsid w:val="004C6780"/>
    <w:rsid w:val="004C67BE"/>
    <w:rsid w:val="004C7726"/>
    <w:rsid w:val="004D16F3"/>
    <w:rsid w:val="004D6BA8"/>
    <w:rsid w:val="004D784B"/>
    <w:rsid w:val="004D7A59"/>
    <w:rsid w:val="004F0B13"/>
    <w:rsid w:val="004F6BB0"/>
    <w:rsid w:val="0050158A"/>
    <w:rsid w:val="00503222"/>
    <w:rsid w:val="00503DB4"/>
    <w:rsid w:val="005048BA"/>
    <w:rsid w:val="00504B55"/>
    <w:rsid w:val="00511780"/>
    <w:rsid w:val="005126CF"/>
    <w:rsid w:val="00512D99"/>
    <w:rsid w:val="00513204"/>
    <w:rsid w:val="00516F6B"/>
    <w:rsid w:val="00522915"/>
    <w:rsid w:val="005245B0"/>
    <w:rsid w:val="00525663"/>
    <w:rsid w:val="0052696C"/>
    <w:rsid w:val="00527BFE"/>
    <w:rsid w:val="005367F4"/>
    <w:rsid w:val="00537DEB"/>
    <w:rsid w:val="005423B9"/>
    <w:rsid w:val="0054370C"/>
    <w:rsid w:val="00551871"/>
    <w:rsid w:val="005612E0"/>
    <w:rsid w:val="00562EEE"/>
    <w:rsid w:val="00570773"/>
    <w:rsid w:val="00572F69"/>
    <w:rsid w:val="00574D7E"/>
    <w:rsid w:val="005765B8"/>
    <w:rsid w:val="00581845"/>
    <w:rsid w:val="005820BE"/>
    <w:rsid w:val="00584936"/>
    <w:rsid w:val="00586691"/>
    <w:rsid w:val="00590E06"/>
    <w:rsid w:val="00593477"/>
    <w:rsid w:val="005947EE"/>
    <w:rsid w:val="005A3EE4"/>
    <w:rsid w:val="005B0E9D"/>
    <w:rsid w:val="005B2337"/>
    <w:rsid w:val="005B3A58"/>
    <w:rsid w:val="005B3D47"/>
    <w:rsid w:val="005B3F9D"/>
    <w:rsid w:val="005B4164"/>
    <w:rsid w:val="005C5105"/>
    <w:rsid w:val="005C7437"/>
    <w:rsid w:val="005D6DC1"/>
    <w:rsid w:val="005E1996"/>
    <w:rsid w:val="005E73DF"/>
    <w:rsid w:val="005F074B"/>
    <w:rsid w:val="005F2359"/>
    <w:rsid w:val="005F2C6A"/>
    <w:rsid w:val="005F2FBF"/>
    <w:rsid w:val="00600520"/>
    <w:rsid w:val="0060087B"/>
    <w:rsid w:val="00601CA2"/>
    <w:rsid w:val="006049D2"/>
    <w:rsid w:val="00604A93"/>
    <w:rsid w:val="00605CB4"/>
    <w:rsid w:val="00605EC1"/>
    <w:rsid w:val="006076B7"/>
    <w:rsid w:val="00610010"/>
    <w:rsid w:val="00611265"/>
    <w:rsid w:val="00611F1D"/>
    <w:rsid w:val="00613CB8"/>
    <w:rsid w:val="00621EBE"/>
    <w:rsid w:val="00621ECB"/>
    <w:rsid w:val="006231C0"/>
    <w:rsid w:val="00626D07"/>
    <w:rsid w:val="00632EAC"/>
    <w:rsid w:val="00642D4F"/>
    <w:rsid w:val="006501E3"/>
    <w:rsid w:val="00650C33"/>
    <w:rsid w:val="006527F9"/>
    <w:rsid w:val="00654B4A"/>
    <w:rsid w:val="006550AC"/>
    <w:rsid w:val="00655C9F"/>
    <w:rsid w:val="00657F11"/>
    <w:rsid w:val="006627D6"/>
    <w:rsid w:val="006669DC"/>
    <w:rsid w:val="00666F89"/>
    <w:rsid w:val="006706C4"/>
    <w:rsid w:val="00670836"/>
    <w:rsid w:val="00672630"/>
    <w:rsid w:val="006732DC"/>
    <w:rsid w:val="00673557"/>
    <w:rsid w:val="00675648"/>
    <w:rsid w:val="006819E4"/>
    <w:rsid w:val="006821D7"/>
    <w:rsid w:val="0068360B"/>
    <w:rsid w:val="006836A9"/>
    <w:rsid w:val="006848D2"/>
    <w:rsid w:val="0068495C"/>
    <w:rsid w:val="0068569D"/>
    <w:rsid w:val="006862F0"/>
    <w:rsid w:val="006901E9"/>
    <w:rsid w:val="006903AF"/>
    <w:rsid w:val="006A0C4A"/>
    <w:rsid w:val="006A1298"/>
    <w:rsid w:val="006A3D7A"/>
    <w:rsid w:val="006A7BA9"/>
    <w:rsid w:val="006B033B"/>
    <w:rsid w:val="006B2390"/>
    <w:rsid w:val="006B276C"/>
    <w:rsid w:val="006C0CB8"/>
    <w:rsid w:val="006C721D"/>
    <w:rsid w:val="006C7F7B"/>
    <w:rsid w:val="006D0399"/>
    <w:rsid w:val="006D5072"/>
    <w:rsid w:val="006E6970"/>
    <w:rsid w:val="006F2A5E"/>
    <w:rsid w:val="006F5915"/>
    <w:rsid w:val="0070249D"/>
    <w:rsid w:val="00703511"/>
    <w:rsid w:val="007066FD"/>
    <w:rsid w:val="00713F11"/>
    <w:rsid w:val="007144E5"/>
    <w:rsid w:val="007151CB"/>
    <w:rsid w:val="00720DEF"/>
    <w:rsid w:val="007231F3"/>
    <w:rsid w:val="007238C7"/>
    <w:rsid w:val="007251DC"/>
    <w:rsid w:val="00730720"/>
    <w:rsid w:val="00733157"/>
    <w:rsid w:val="00734B5F"/>
    <w:rsid w:val="00734DD7"/>
    <w:rsid w:val="00736F63"/>
    <w:rsid w:val="00740CAD"/>
    <w:rsid w:val="00740DAD"/>
    <w:rsid w:val="00742066"/>
    <w:rsid w:val="00742B22"/>
    <w:rsid w:val="00743069"/>
    <w:rsid w:val="007431A8"/>
    <w:rsid w:val="007457BD"/>
    <w:rsid w:val="0074656C"/>
    <w:rsid w:val="00751860"/>
    <w:rsid w:val="0075505E"/>
    <w:rsid w:val="007560CF"/>
    <w:rsid w:val="007565C3"/>
    <w:rsid w:val="00763C1A"/>
    <w:rsid w:val="007652BD"/>
    <w:rsid w:val="007670FF"/>
    <w:rsid w:val="00774018"/>
    <w:rsid w:val="00774B08"/>
    <w:rsid w:val="007835E1"/>
    <w:rsid w:val="00783BBC"/>
    <w:rsid w:val="0079122B"/>
    <w:rsid w:val="00791D14"/>
    <w:rsid w:val="007A4441"/>
    <w:rsid w:val="007A4D34"/>
    <w:rsid w:val="007A58F7"/>
    <w:rsid w:val="007B0714"/>
    <w:rsid w:val="007B656D"/>
    <w:rsid w:val="007C203E"/>
    <w:rsid w:val="007C76C1"/>
    <w:rsid w:val="007D1EA0"/>
    <w:rsid w:val="007D308A"/>
    <w:rsid w:val="007D4A6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0580"/>
    <w:rsid w:val="008323A3"/>
    <w:rsid w:val="008348B7"/>
    <w:rsid w:val="00837CF0"/>
    <w:rsid w:val="00844DD3"/>
    <w:rsid w:val="00853294"/>
    <w:rsid w:val="00860322"/>
    <w:rsid w:val="008628AF"/>
    <w:rsid w:val="00867F56"/>
    <w:rsid w:val="008717A6"/>
    <w:rsid w:val="0087212B"/>
    <w:rsid w:val="008721F9"/>
    <w:rsid w:val="00874BF7"/>
    <w:rsid w:val="00876276"/>
    <w:rsid w:val="008778E7"/>
    <w:rsid w:val="008871A0"/>
    <w:rsid w:val="008A12A0"/>
    <w:rsid w:val="008A2AFF"/>
    <w:rsid w:val="008A5487"/>
    <w:rsid w:val="008A6AD5"/>
    <w:rsid w:val="008B107C"/>
    <w:rsid w:val="008B13F3"/>
    <w:rsid w:val="008B1B8B"/>
    <w:rsid w:val="008B1D38"/>
    <w:rsid w:val="008B62E2"/>
    <w:rsid w:val="008C205D"/>
    <w:rsid w:val="008C2A42"/>
    <w:rsid w:val="008C3286"/>
    <w:rsid w:val="008C4862"/>
    <w:rsid w:val="008C504E"/>
    <w:rsid w:val="008C5C1B"/>
    <w:rsid w:val="008C78E5"/>
    <w:rsid w:val="008D3258"/>
    <w:rsid w:val="008D47E4"/>
    <w:rsid w:val="008D4E88"/>
    <w:rsid w:val="008D6936"/>
    <w:rsid w:val="008D784A"/>
    <w:rsid w:val="008D7B59"/>
    <w:rsid w:val="008D7DB2"/>
    <w:rsid w:val="008E61D8"/>
    <w:rsid w:val="008F31F7"/>
    <w:rsid w:val="008F5727"/>
    <w:rsid w:val="008F6DA8"/>
    <w:rsid w:val="009021CF"/>
    <w:rsid w:val="0090295F"/>
    <w:rsid w:val="00906C55"/>
    <w:rsid w:val="00910225"/>
    <w:rsid w:val="0091536E"/>
    <w:rsid w:val="00916A10"/>
    <w:rsid w:val="00920451"/>
    <w:rsid w:val="00920E8B"/>
    <w:rsid w:val="00922A89"/>
    <w:rsid w:val="009247E8"/>
    <w:rsid w:val="00924EC9"/>
    <w:rsid w:val="009255F2"/>
    <w:rsid w:val="00925EAE"/>
    <w:rsid w:val="009264BF"/>
    <w:rsid w:val="009279F4"/>
    <w:rsid w:val="00935417"/>
    <w:rsid w:val="00940CFA"/>
    <w:rsid w:val="00940D3A"/>
    <w:rsid w:val="0094716F"/>
    <w:rsid w:val="00951E9B"/>
    <w:rsid w:val="009613B4"/>
    <w:rsid w:val="00964EF9"/>
    <w:rsid w:val="00967F86"/>
    <w:rsid w:val="009700B5"/>
    <w:rsid w:val="009704AB"/>
    <w:rsid w:val="00971B31"/>
    <w:rsid w:val="00971D77"/>
    <w:rsid w:val="009745F1"/>
    <w:rsid w:val="00975F2D"/>
    <w:rsid w:val="00976CB6"/>
    <w:rsid w:val="00976CCD"/>
    <w:rsid w:val="009815FD"/>
    <w:rsid w:val="0098587F"/>
    <w:rsid w:val="00986716"/>
    <w:rsid w:val="00986CAC"/>
    <w:rsid w:val="00986EC9"/>
    <w:rsid w:val="0098779D"/>
    <w:rsid w:val="009910FE"/>
    <w:rsid w:val="009916DC"/>
    <w:rsid w:val="00992A9E"/>
    <w:rsid w:val="009942E0"/>
    <w:rsid w:val="0099510C"/>
    <w:rsid w:val="009A023A"/>
    <w:rsid w:val="009A0F72"/>
    <w:rsid w:val="009A22F2"/>
    <w:rsid w:val="009A742F"/>
    <w:rsid w:val="009B0E89"/>
    <w:rsid w:val="009B27CE"/>
    <w:rsid w:val="009B387E"/>
    <w:rsid w:val="009B6CAC"/>
    <w:rsid w:val="009C026A"/>
    <w:rsid w:val="009C0B5F"/>
    <w:rsid w:val="009C195B"/>
    <w:rsid w:val="009C3972"/>
    <w:rsid w:val="009C4AF3"/>
    <w:rsid w:val="009C7126"/>
    <w:rsid w:val="009C7D9B"/>
    <w:rsid w:val="009D109E"/>
    <w:rsid w:val="009D5C7F"/>
    <w:rsid w:val="009E6788"/>
    <w:rsid w:val="009F29CB"/>
    <w:rsid w:val="009F3BFE"/>
    <w:rsid w:val="009F4175"/>
    <w:rsid w:val="009F6A8D"/>
    <w:rsid w:val="009F7A65"/>
    <w:rsid w:val="00A00254"/>
    <w:rsid w:val="00A03804"/>
    <w:rsid w:val="00A04F8D"/>
    <w:rsid w:val="00A12668"/>
    <w:rsid w:val="00A151E1"/>
    <w:rsid w:val="00A227D0"/>
    <w:rsid w:val="00A26AA0"/>
    <w:rsid w:val="00A26BDC"/>
    <w:rsid w:val="00A27FBC"/>
    <w:rsid w:val="00A34BB9"/>
    <w:rsid w:val="00A375C4"/>
    <w:rsid w:val="00A40473"/>
    <w:rsid w:val="00A467BE"/>
    <w:rsid w:val="00A5444D"/>
    <w:rsid w:val="00A55CE4"/>
    <w:rsid w:val="00A5619F"/>
    <w:rsid w:val="00A56598"/>
    <w:rsid w:val="00A60301"/>
    <w:rsid w:val="00A6153F"/>
    <w:rsid w:val="00A627BA"/>
    <w:rsid w:val="00A632BD"/>
    <w:rsid w:val="00A63A15"/>
    <w:rsid w:val="00A63E56"/>
    <w:rsid w:val="00A64533"/>
    <w:rsid w:val="00A64F21"/>
    <w:rsid w:val="00A70E2F"/>
    <w:rsid w:val="00A72396"/>
    <w:rsid w:val="00A73504"/>
    <w:rsid w:val="00A73B15"/>
    <w:rsid w:val="00A740FD"/>
    <w:rsid w:val="00A81C4E"/>
    <w:rsid w:val="00A8244F"/>
    <w:rsid w:val="00A83758"/>
    <w:rsid w:val="00A83862"/>
    <w:rsid w:val="00A844E6"/>
    <w:rsid w:val="00A875FA"/>
    <w:rsid w:val="00A90B59"/>
    <w:rsid w:val="00A9430C"/>
    <w:rsid w:val="00A97F49"/>
    <w:rsid w:val="00AA1840"/>
    <w:rsid w:val="00AB1603"/>
    <w:rsid w:val="00AB324E"/>
    <w:rsid w:val="00AB6EB1"/>
    <w:rsid w:val="00AC3563"/>
    <w:rsid w:val="00AC5B1C"/>
    <w:rsid w:val="00AD064E"/>
    <w:rsid w:val="00AD1257"/>
    <w:rsid w:val="00AD2866"/>
    <w:rsid w:val="00AD31D4"/>
    <w:rsid w:val="00AD4701"/>
    <w:rsid w:val="00AD7231"/>
    <w:rsid w:val="00AD764D"/>
    <w:rsid w:val="00AE0608"/>
    <w:rsid w:val="00AE2A85"/>
    <w:rsid w:val="00AE3C78"/>
    <w:rsid w:val="00AE79ED"/>
    <w:rsid w:val="00AF059F"/>
    <w:rsid w:val="00AF065B"/>
    <w:rsid w:val="00AF2323"/>
    <w:rsid w:val="00AF2698"/>
    <w:rsid w:val="00AF2B86"/>
    <w:rsid w:val="00AF4FF1"/>
    <w:rsid w:val="00AF563B"/>
    <w:rsid w:val="00B00F9F"/>
    <w:rsid w:val="00B017FC"/>
    <w:rsid w:val="00B04DD0"/>
    <w:rsid w:val="00B06EB2"/>
    <w:rsid w:val="00B143C5"/>
    <w:rsid w:val="00B21FFF"/>
    <w:rsid w:val="00B255AA"/>
    <w:rsid w:val="00B27D1F"/>
    <w:rsid w:val="00B27F57"/>
    <w:rsid w:val="00B320CA"/>
    <w:rsid w:val="00B328FF"/>
    <w:rsid w:val="00B42D6B"/>
    <w:rsid w:val="00B518F9"/>
    <w:rsid w:val="00B538FB"/>
    <w:rsid w:val="00B53980"/>
    <w:rsid w:val="00B53F19"/>
    <w:rsid w:val="00B564C2"/>
    <w:rsid w:val="00B56A24"/>
    <w:rsid w:val="00B56E54"/>
    <w:rsid w:val="00B60153"/>
    <w:rsid w:val="00B60628"/>
    <w:rsid w:val="00B619A1"/>
    <w:rsid w:val="00B726FA"/>
    <w:rsid w:val="00B73B1F"/>
    <w:rsid w:val="00B73BD8"/>
    <w:rsid w:val="00B7597A"/>
    <w:rsid w:val="00B760E3"/>
    <w:rsid w:val="00B77920"/>
    <w:rsid w:val="00B82242"/>
    <w:rsid w:val="00B82283"/>
    <w:rsid w:val="00B8778D"/>
    <w:rsid w:val="00B87E26"/>
    <w:rsid w:val="00B94C07"/>
    <w:rsid w:val="00BA0655"/>
    <w:rsid w:val="00BA07D0"/>
    <w:rsid w:val="00BA1F76"/>
    <w:rsid w:val="00BB0E54"/>
    <w:rsid w:val="00BB43F0"/>
    <w:rsid w:val="00BB5F81"/>
    <w:rsid w:val="00BC28DA"/>
    <w:rsid w:val="00BC4D70"/>
    <w:rsid w:val="00BD462A"/>
    <w:rsid w:val="00BD5AB7"/>
    <w:rsid w:val="00BD6D5B"/>
    <w:rsid w:val="00BD7D27"/>
    <w:rsid w:val="00BE079E"/>
    <w:rsid w:val="00BE3858"/>
    <w:rsid w:val="00BE445A"/>
    <w:rsid w:val="00BF12D6"/>
    <w:rsid w:val="00BF6C9E"/>
    <w:rsid w:val="00C02408"/>
    <w:rsid w:val="00C02A35"/>
    <w:rsid w:val="00C044D2"/>
    <w:rsid w:val="00C04CC6"/>
    <w:rsid w:val="00C066EB"/>
    <w:rsid w:val="00C07026"/>
    <w:rsid w:val="00C12A32"/>
    <w:rsid w:val="00C219E9"/>
    <w:rsid w:val="00C221D9"/>
    <w:rsid w:val="00C22AF6"/>
    <w:rsid w:val="00C24631"/>
    <w:rsid w:val="00C25AD9"/>
    <w:rsid w:val="00C34313"/>
    <w:rsid w:val="00C3757D"/>
    <w:rsid w:val="00C41C9D"/>
    <w:rsid w:val="00C44E1B"/>
    <w:rsid w:val="00C46740"/>
    <w:rsid w:val="00C50781"/>
    <w:rsid w:val="00C522DD"/>
    <w:rsid w:val="00C5529E"/>
    <w:rsid w:val="00C56B91"/>
    <w:rsid w:val="00C622C7"/>
    <w:rsid w:val="00C66F09"/>
    <w:rsid w:val="00C67823"/>
    <w:rsid w:val="00C7030D"/>
    <w:rsid w:val="00C70C28"/>
    <w:rsid w:val="00C722C2"/>
    <w:rsid w:val="00C76AB9"/>
    <w:rsid w:val="00C76D28"/>
    <w:rsid w:val="00C83BC7"/>
    <w:rsid w:val="00C846EA"/>
    <w:rsid w:val="00C85FDB"/>
    <w:rsid w:val="00C875C1"/>
    <w:rsid w:val="00C92EBE"/>
    <w:rsid w:val="00C92ED9"/>
    <w:rsid w:val="00C95B29"/>
    <w:rsid w:val="00C95EBF"/>
    <w:rsid w:val="00C9781A"/>
    <w:rsid w:val="00CA4D73"/>
    <w:rsid w:val="00CA6371"/>
    <w:rsid w:val="00CA70AA"/>
    <w:rsid w:val="00CB343E"/>
    <w:rsid w:val="00CB3BFA"/>
    <w:rsid w:val="00CC1172"/>
    <w:rsid w:val="00CC47A9"/>
    <w:rsid w:val="00CC65FC"/>
    <w:rsid w:val="00CD1C49"/>
    <w:rsid w:val="00CE0BB4"/>
    <w:rsid w:val="00CE1F97"/>
    <w:rsid w:val="00CE222C"/>
    <w:rsid w:val="00CE5E94"/>
    <w:rsid w:val="00CE65A9"/>
    <w:rsid w:val="00CF113B"/>
    <w:rsid w:val="00CF6C44"/>
    <w:rsid w:val="00D00086"/>
    <w:rsid w:val="00D01085"/>
    <w:rsid w:val="00D015DF"/>
    <w:rsid w:val="00D04F37"/>
    <w:rsid w:val="00D07B60"/>
    <w:rsid w:val="00D17180"/>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45BBB"/>
    <w:rsid w:val="00D5054B"/>
    <w:rsid w:val="00D508A8"/>
    <w:rsid w:val="00D51786"/>
    <w:rsid w:val="00D51B88"/>
    <w:rsid w:val="00D552FD"/>
    <w:rsid w:val="00D56433"/>
    <w:rsid w:val="00D62C44"/>
    <w:rsid w:val="00D6528B"/>
    <w:rsid w:val="00D745EA"/>
    <w:rsid w:val="00D82201"/>
    <w:rsid w:val="00D82A2E"/>
    <w:rsid w:val="00D83493"/>
    <w:rsid w:val="00D842AF"/>
    <w:rsid w:val="00D84FBC"/>
    <w:rsid w:val="00D879C3"/>
    <w:rsid w:val="00D905D7"/>
    <w:rsid w:val="00D91C00"/>
    <w:rsid w:val="00D9337C"/>
    <w:rsid w:val="00D94517"/>
    <w:rsid w:val="00D95661"/>
    <w:rsid w:val="00D95F2E"/>
    <w:rsid w:val="00D96284"/>
    <w:rsid w:val="00DA4764"/>
    <w:rsid w:val="00DA545E"/>
    <w:rsid w:val="00DA6BBF"/>
    <w:rsid w:val="00DA74FA"/>
    <w:rsid w:val="00DB192F"/>
    <w:rsid w:val="00DB5D8E"/>
    <w:rsid w:val="00DB6645"/>
    <w:rsid w:val="00DB7990"/>
    <w:rsid w:val="00DC0F5A"/>
    <w:rsid w:val="00DC31DD"/>
    <w:rsid w:val="00DC7F90"/>
    <w:rsid w:val="00DD00C2"/>
    <w:rsid w:val="00DD0EE2"/>
    <w:rsid w:val="00DD2292"/>
    <w:rsid w:val="00DD23F6"/>
    <w:rsid w:val="00DD61A5"/>
    <w:rsid w:val="00DE19F5"/>
    <w:rsid w:val="00DF3B6A"/>
    <w:rsid w:val="00DF50D2"/>
    <w:rsid w:val="00E02CEB"/>
    <w:rsid w:val="00E0302A"/>
    <w:rsid w:val="00E03522"/>
    <w:rsid w:val="00E044CB"/>
    <w:rsid w:val="00E04652"/>
    <w:rsid w:val="00E04844"/>
    <w:rsid w:val="00E0547C"/>
    <w:rsid w:val="00E1244B"/>
    <w:rsid w:val="00E124FB"/>
    <w:rsid w:val="00E204B1"/>
    <w:rsid w:val="00E21992"/>
    <w:rsid w:val="00E26604"/>
    <w:rsid w:val="00E2674E"/>
    <w:rsid w:val="00E26BAC"/>
    <w:rsid w:val="00E3093E"/>
    <w:rsid w:val="00E31C9B"/>
    <w:rsid w:val="00E32279"/>
    <w:rsid w:val="00E335F9"/>
    <w:rsid w:val="00E414B0"/>
    <w:rsid w:val="00E47085"/>
    <w:rsid w:val="00E525B1"/>
    <w:rsid w:val="00E532D5"/>
    <w:rsid w:val="00E5477D"/>
    <w:rsid w:val="00E55174"/>
    <w:rsid w:val="00E55DD9"/>
    <w:rsid w:val="00E5661C"/>
    <w:rsid w:val="00E566CB"/>
    <w:rsid w:val="00E570C4"/>
    <w:rsid w:val="00E65EB4"/>
    <w:rsid w:val="00E6662A"/>
    <w:rsid w:val="00E73E9F"/>
    <w:rsid w:val="00E75D60"/>
    <w:rsid w:val="00E82972"/>
    <w:rsid w:val="00E84AA3"/>
    <w:rsid w:val="00E94F20"/>
    <w:rsid w:val="00EA2CF2"/>
    <w:rsid w:val="00EA6EF8"/>
    <w:rsid w:val="00EA752F"/>
    <w:rsid w:val="00EB3B2D"/>
    <w:rsid w:val="00EB7DB7"/>
    <w:rsid w:val="00EC02C9"/>
    <w:rsid w:val="00EC6410"/>
    <w:rsid w:val="00EC68C2"/>
    <w:rsid w:val="00ED11F8"/>
    <w:rsid w:val="00ED57A0"/>
    <w:rsid w:val="00ED687C"/>
    <w:rsid w:val="00ED7F73"/>
    <w:rsid w:val="00EE0A47"/>
    <w:rsid w:val="00EE1E20"/>
    <w:rsid w:val="00EE2F3A"/>
    <w:rsid w:val="00EE4AFB"/>
    <w:rsid w:val="00EE4DFE"/>
    <w:rsid w:val="00EE5CB2"/>
    <w:rsid w:val="00EE6FDB"/>
    <w:rsid w:val="00F0770E"/>
    <w:rsid w:val="00F07E5F"/>
    <w:rsid w:val="00F11B3B"/>
    <w:rsid w:val="00F126B0"/>
    <w:rsid w:val="00F15555"/>
    <w:rsid w:val="00F15A80"/>
    <w:rsid w:val="00F15FF3"/>
    <w:rsid w:val="00F17EE8"/>
    <w:rsid w:val="00F17F36"/>
    <w:rsid w:val="00F215B1"/>
    <w:rsid w:val="00F23000"/>
    <w:rsid w:val="00F233CC"/>
    <w:rsid w:val="00F23533"/>
    <w:rsid w:val="00F3220B"/>
    <w:rsid w:val="00F3250C"/>
    <w:rsid w:val="00F352CB"/>
    <w:rsid w:val="00F477FF"/>
    <w:rsid w:val="00F47D1E"/>
    <w:rsid w:val="00F522F4"/>
    <w:rsid w:val="00F53387"/>
    <w:rsid w:val="00F54885"/>
    <w:rsid w:val="00F567C3"/>
    <w:rsid w:val="00F62A11"/>
    <w:rsid w:val="00F62E57"/>
    <w:rsid w:val="00F704EA"/>
    <w:rsid w:val="00F71B6D"/>
    <w:rsid w:val="00F77E28"/>
    <w:rsid w:val="00F8102B"/>
    <w:rsid w:val="00F8658C"/>
    <w:rsid w:val="00F9203A"/>
    <w:rsid w:val="00F95F36"/>
    <w:rsid w:val="00F96E18"/>
    <w:rsid w:val="00FA10CC"/>
    <w:rsid w:val="00FA43D6"/>
    <w:rsid w:val="00FB2547"/>
    <w:rsid w:val="00FB26CE"/>
    <w:rsid w:val="00FB5D2F"/>
    <w:rsid w:val="00FB64DB"/>
    <w:rsid w:val="00FB7502"/>
    <w:rsid w:val="00FC5841"/>
    <w:rsid w:val="00FC5B89"/>
    <w:rsid w:val="00FC6FAA"/>
    <w:rsid w:val="00FD0051"/>
    <w:rsid w:val="00FD2315"/>
    <w:rsid w:val="00FE6827"/>
    <w:rsid w:val="00FE7AB3"/>
    <w:rsid w:val="00FF5078"/>
    <w:rsid w:val="00FF7EE2"/>
    <w:rsid w:val="02B16159"/>
    <w:rsid w:val="03EB0A08"/>
    <w:rsid w:val="065B017F"/>
    <w:rsid w:val="06C87D94"/>
    <w:rsid w:val="13374E2D"/>
    <w:rsid w:val="15892B7D"/>
    <w:rsid w:val="1B6C23FD"/>
    <w:rsid w:val="1DB75862"/>
    <w:rsid w:val="20E53FEC"/>
    <w:rsid w:val="2361128A"/>
    <w:rsid w:val="270E5306"/>
    <w:rsid w:val="290F464F"/>
    <w:rsid w:val="2BBE60F5"/>
    <w:rsid w:val="391778D9"/>
    <w:rsid w:val="415E1E7F"/>
    <w:rsid w:val="42F551CC"/>
    <w:rsid w:val="455276A4"/>
    <w:rsid w:val="4DD76380"/>
    <w:rsid w:val="5040676B"/>
    <w:rsid w:val="5B802320"/>
    <w:rsid w:val="5C3A0471"/>
    <w:rsid w:val="5DBE0ECC"/>
    <w:rsid w:val="6B535185"/>
    <w:rsid w:val="6C934082"/>
    <w:rsid w:val="72ED5F7B"/>
    <w:rsid w:val="748E595A"/>
    <w:rsid w:val="756F0776"/>
    <w:rsid w:val="770C1396"/>
    <w:rsid w:val="7DE423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6"/>
    <w:link w:val="51"/>
    <w:qFormat/>
    <w:uiPriority w:val="0"/>
    <w:pPr>
      <w:keepNext/>
      <w:keepLines/>
      <w:autoSpaceDE/>
      <w:autoSpaceDN/>
      <w:adjustRightInd/>
      <w:spacing w:before="280" w:after="290" w:line="376" w:lineRule="auto"/>
      <w:jc w:val="both"/>
      <w:outlineLvl w:val="3"/>
    </w:pPr>
    <w:rPr>
      <w:rFonts w:ascii="Arial" w:hAnsi="Arial" w:eastAsia="黑体" w:cs="Arial"/>
      <w:b/>
      <w:bCs/>
      <w:kern w:val="2"/>
      <w:sz w:val="28"/>
      <w:szCs w:val="28"/>
    </w:rPr>
  </w:style>
  <w:style w:type="paragraph" w:styleId="7">
    <w:name w:val="heading 5"/>
    <w:basedOn w:val="1"/>
    <w:next w:val="1"/>
    <w:qFormat/>
    <w:uiPriority w:val="0"/>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8">
    <w:name w:val="heading 6"/>
    <w:basedOn w:val="1"/>
    <w:next w:val="1"/>
    <w:qFormat/>
    <w:uiPriority w:val="0"/>
    <w:pPr>
      <w:keepNext/>
      <w:keepLines/>
      <w:tabs>
        <w:tab w:val="left" w:pos="1152"/>
      </w:tabs>
      <w:autoSpaceDE/>
      <w:autoSpaceDN/>
      <w:adjustRightInd/>
      <w:spacing w:before="240" w:after="64" w:line="320" w:lineRule="auto"/>
      <w:ind w:left="1152" w:hanging="1152"/>
      <w:jc w:val="both"/>
      <w:outlineLvl w:val="5"/>
    </w:pPr>
    <w:rPr>
      <w:rFonts w:ascii="Arial" w:hAnsi="Arial" w:eastAsia="黑体"/>
      <w:b/>
      <w:bCs/>
      <w:kern w:val="2"/>
      <w:sz w:val="24"/>
      <w:szCs w:val="24"/>
    </w:rPr>
  </w:style>
  <w:style w:type="paragraph" w:styleId="9">
    <w:name w:val="heading 7"/>
    <w:basedOn w:val="1"/>
    <w:next w:val="1"/>
    <w:qFormat/>
    <w:uiPriority w:val="0"/>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10">
    <w:name w:val="heading 8"/>
    <w:basedOn w:val="1"/>
    <w:next w:val="1"/>
    <w:qFormat/>
    <w:uiPriority w:val="0"/>
    <w:pPr>
      <w:keepNext/>
      <w:keepLines/>
      <w:tabs>
        <w:tab w:val="left" w:pos="1440"/>
      </w:tabs>
      <w:autoSpaceDE/>
      <w:autoSpaceDN/>
      <w:adjustRightInd/>
      <w:spacing w:before="240" w:after="64" w:line="320" w:lineRule="auto"/>
      <w:ind w:left="1440" w:hanging="1440"/>
      <w:jc w:val="both"/>
      <w:outlineLvl w:val="7"/>
    </w:pPr>
    <w:rPr>
      <w:rFonts w:ascii="Arial" w:hAnsi="Arial" w:eastAsia="黑体"/>
      <w:kern w:val="2"/>
      <w:sz w:val="24"/>
      <w:szCs w:val="24"/>
    </w:rPr>
  </w:style>
  <w:style w:type="paragraph" w:styleId="11">
    <w:name w:val="heading 9"/>
    <w:basedOn w:val="1"/>
    <w:next w:val="1"/>
    <w:qFormat/>
    <w:uiPriority w:val="0"/>
    <w:pPr>
      <w:keepNext/>
      <w:keepLines/>
      <w:tabs>
        <w:tab w:val="left" w:pos="1584"/>
      </w:tabs>
      <w:autoSpaceDE/>
      <w:autoSpaceDN/>
      <w:adjustRightInd/>
      <w:spacing w:before="240" w:after="64" w:line="320" w:lineRule="auto"/>
      <w:ind w:left="1584" w:hanging="1584"/>
      <w:jc w:val="both"/>
      <w:outlineLvl w:val="8"/>
    </w:pPr>
    <w:rPr>
      <w:rFonts w:ascii="Arial" w:hAnsi="Arial" w:eastAsia="黑体"/>
      <w:kern w:val="2"/>
      <w:sz w:val="21"/>
      <w:szCs w:val="21"/>
    </w:rPr>
  </w:style>
  <w:style w:type="character" w:default="1" w:styleId="39">
    <w:name w:val="Default Paragraph Font"/>
    <w:unhideWhenUsed/>
    <w:qFormat/>
    <w:uiPriority w:val="1"/>
  </w:style>
  <w:style w:type="table" w:default="1" w:styleId="4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48"/>
    <w:qFormat/>
    <w:uiPriority w:val="0"/>
    <w:pPr>
      <w:ind w:firstLine="420" w:firstLineChars="200"/>
    </w:pPr>
  </w:style>
  <w:style w:type="paragraph" w:styleId="12">
    <w:name w:val="List 3"/>
    <w:basedOn w:val="1"/>
    <w:qFormat/>
    <w:uiPriority w:val="0"/>
    <w:pPr>
      <w:widowControl/>
      <w:autoSpaceDE/>
      <w:autoSpaceDN/>
      <w:adjustRightInd/>
      <w:spacing w:before="100" w:beforeAutospacing="1" w:after="100" w:afterAutospacing="1"/>
    </w:pPr>
    <w:rPr>
      <w:rFonts w:hAnsi="宋体" w:cs="宋体"/>
      <w:sz w:val="24"/>
      <w:szCs w:val="24"/>
    </w:rPr>
  </w:style>
  <w:style w:type="paragraph" w:styleId="13">
    <w:name w:val="annotation subject"/>
    <w:basedOn w:val="14"/>
    <w:next w:val="14"/>
    <w:semiHidden/>
    <w:qFormat/>
    <w:uiPriority w:val="0"/>
    <w:rPr>
      <w:b/>
      <w:bCs/>
    </w:rPr>
  </w:style>
  <w:style w:type="paragraph" w:styleId="14">
    <w:name w:val="annotation text"/>
    <w:basedOn w:val="1"/>
    <w:semiHidden/>
    <w:qFormat/>
    <w:uiPriority w:val="0"/>
    <w:pPr>
      <w:autoSpaceDE/>
      <w:autoSpaceDN/>
      <w:adjustRightInd/>
    </w:pPr>
    <w:rPr>
      <w:rFonts w:ascii="Times New Roman"/>
      <w:kern w:val="2"/>
      <w:sz w:val="21"/>
      <w:szCs w:val="24"/>
    </w:rPr>
  </w:style>
  <w:style w:type="paragraph" w:styleId="15">
    <w:name w:val="toc 7"/>
    <w:basedOn w:val="1"/>
    <w:next w:val="1"/>
    <w:semiHidden/>
    <w:qFormat/>
    <w:uiPriority w:val="0"/>
    <w:pPr>
      <w:autoSpaceDE/>
      <w:autoSpaceDN/>
      <w:adjustRightInd/>
      <w:ind w:left="1260"/>
    </w:pPr>
    <w:rPr>
      <w:rFonts w:ascii="Times New Roman"/>
      <w:kern w:val="2"/>
      <w:sz w:val="18"/>
      <w:szCs w:val="18"/>
    </w:rPr>
  </w:style>
  <w:style w:type="paragraph" w:styleId="16">
    <w:name w:val="Body Text First Indent"/>
    <w:basedOn w:val="17"/>
    <w:qFormat/>
    <w:uiPriority w:val="0"/>
    <w:pPr>
      <w:spacing w:after="120"/>
      <w:ind w:firstLine="420" w:firstLineChars="100"/>
      <w:jc w:val="both"/>
    </w:pPr>
    <w:rPr>
      <w:sz w:val="21"/>
    </w:rPr>
  </w:style>
  <w:style w:type="paragraph" w:styleId="17">
    <w:name w:val="Body Text"/>
    <w:basedOn w:val="1"/>
    <w:link w:val="47"/>
    <w:qFormat/>
    <w:uiPriority w:val="0"/>
    <w:pPr>
      <w:autoSpaceDE/>
      <w:autoSpaceDN/>
      <w:adjustRightInd/>
      <w:jc w:val="center"/>
    </w:pPr>
    <w:rPr>
      <w:rFonts w:ascii="Times New Roman"/>
      <w:kern w:val="2"/>
      <w:sz w:val="44"/>
      <w:szCs w:val="24"/>
    </w:rPr>
  </w:style>
  <w:style w:type="paragraph" w:styleId="18">
    <w:name w:val="List Number"/>
    <w:basedOn w:val="1"/>
    <w:qFormat/>
    <w:uiPriority w:val="0"/>
    <w:pPr>
      <w:tabs>
        <w:tab w:val="left" w:pos="420"/>
      </w:tabs>
      <w:autoSpaceDE/>
      <w:autoSpaceDN/>
      <w:adjustRightInd/>
      <w:ind w:left="420" w:hanging="420"/>
      <w:jc w:val="both"/>
    </w:pPr>
    <w:rPr>
      <w:rFonts w:ascii="Times New Roman"/>
      <w:kern w:val="2"/>
      <w:sz w:val="21"/>
      <w:szCs w:val="24"/>
    </w:rPr>
  </w:style>
  <w:style w:type="paragraph" w:styleId="19">
    <w:name w:val="Document Map"/>
    <w:basedOn w:val="1"/>
    <w:semiHidden/>
    <w:qFormat/>
    <w:uiPriority w:val="0"/>
    <w:pPr>
      <w:shd w:val="clear" w:color="auto" w:fill="000080"/>
      <w:autoSpaceDE/>
      <w:autoSpaceDN/>
      <w:adjustRightInd/>
      <w:jc w:val="both"/>
    </w:pPr>
    <w:rPr>
      <w:rFonts w:ascii="Times New Roman"/>
      <w:kern w:val="2"/>
      <w:sz w:val="21"/>
      <w:szCs w:val="24"/>
    </w:rPr>
  </w:style>
  <w:style w:type="paragraph" w:styleId="20">
    <w:name w:val="Body Text 3"/>
    <w:basedOn w:val="1"/>
    <w:qFormat/>
    <w:uiPriority w:val="0"/>
    <w:pPr>
      <w:widowControl/>
      <w:autoSpaceDE/>
      <w:autoSpaceDN/>
      <w:adjustRightInd/>
      <w:jc w:val="center"/>
    </w:pPr>
    <w:rPr>
      <w:rFonts w:ascii="Times New Roman"/>
      <w:sz w:val="21"/>
    </w:rPr>
  </w:style>
  <w:style w:type="paragraph" w:styleId="21">
    <w:name w:val="Body Text Indent"/>
    <w:basedOn w:val="1"/>
    <w:qFormat/>
    <w:uiPriority w:val="0"/>
    <w:pPr>
      <w:autoSpaceDE/>
      <w:autoSpaceDN/>
      <w:adjustRightInd/>
      <w:spacing w:after="120"/>
      <w:ind w:left="420" w:leftChars="200"/>
      <w:jc w:val="both"/>
    </w:pPr>
    <w:rPr>
      <w:rFonts w:ascii="Times New Roman"/>
      <w:kern w:val="2"/>
      <w:sz w:val="21"/>
      <w:szCs w:val="24"/>
    </w:rPr>
  </w:style>
  <w:style w:type="paragraph" w:styleId="22">
    <w:name w:val="toc 5"/>
    <w:basedOn w:val="1"/>
    <w:next w:val="1"/>
    <w:semiHidden/>
    <w:qFormat/>
    <w:uiPriority w:val="0"/>
    <w:pPr>
      <w:autoSpaceDE/>
      <w:autoSpaceDN/>
      <w:adjustRightInd/>
      <w:spacing w:before="120" w:after="120"/>
      <w:ind w:left="840"/>
    </w:pPr>
    <w:rPr>
      <w:rFonts w:ascii="Times New Roman"/>
      <w:kern w:val="2"/>
      <w:sz w:val="21"/>
      <w:szCs w:val="18"/>
    </w:rPr>
  </w:style>
  <w:style w:type="paragraph" w:styleId="23">
    <w:name w:val="toc 3"/>
    <w:basedOn w:val="1"/>
    <w:next w:val="1"/>
    <w:qFormat/>
    <w:uiPriority w:val="39"/>
    <w:pPr>
      <w:tabs>
        <w:tab w:val="right" w:leader="dot" w:pos="8540"/>
      </w:tabs>
      <w:spacing w:line="360" w:lineRule="auto"/>
    </w:pPr>
  </w:style>
  <w:style w:type="paragraph" w:styleId="24">
    <w:name w:val="Plain Text"/>
    <w:basedOn w:val="1"/>
    <w:qFormat/>
    <w:uiPriority w:val="0"/>
    <w:pPr>
      <w:autoSpaceDE/>
      <w:autoSpaceDN/>
      <w:adjustRightInd/>
      <w:jc w:val="both"/>
    </w:pPr>
    <w:rPr>
      <w:rFonts w:hint="eastAsia" w:hAnsi="Courier New"/>
      <w:kern w:val="2"/>
      <w:sz w:val="21"/>
      <w:szCs w:val="21"/>
    </w:rPr>
  </w:style>
  <w:style w:type="paragraph" w:styleId="25">
    <w:name w:val="toc 8"/>
    <w:basedOn w:val="1"/>
    <w:next w:val="1"/>
    <w:semiHidden/>
    <w:qFormat/>
    <w:uiPriority w:val="0"/>
    <w:pPr>
      <w:autoSpaceDE/>
      <w:autoSpaceDN/>
      <w:adjustRightInd/>
      <w:ind w:left="1470"/>
    </w:pPr>
    <w:rPr>
      <w:rFonts w:ascii="Times New Roman"/>
      <w:kern w:val="2"/>
      <w:sz w:val="18"/>
      <w:szCs w:val="18"/>
    </w:rPr>
  </w:style>
  <w:style w:type="paragraph" w:styleId="26">
    <w:name w:val="Date"/>
    <w:basedOn w:val="1"/>
    <w:next w:val="1"/>
    <w:qFormat/>
    <w:uiPriority w:val="0"/>
    <w:pPr>
      <w:autoSpaceDE/>
      <w:autoSpaceDN/>
      <w:adjustRightInd/>
      <w:ind w:left="100" w:leftChars="2500"/>
      <w:jc w:val="both"/>
    </w:pPr>
    <w:rPr>
      <w:rFonts w:ascii="Times New Roman"/>
      <w:kern w:val="2"/>
      <w:sz w:val="21"/>
      <w:szCs w:val="24"/>
    </w:rPr>
  </w:style>
  <w:style w:type="paragraph" w:styleId="27">
    <w:name w:val="Balloon Text"/>
    <w:basedOn w:val="1"/>
    <w:semiHidden/>
    <w:qFormat/>
    <w:uiPriority w:val="0"/>
    <w:pPr>
      <w:autoSpaceDE/>
      <w:autoSpaceDN/>
      <w:adjustRightInd/>
      <w:jc w:val="both"/>
    </w:pPr>
    <w:rPr>
      <w:rFonts w:ascii="Times New Roman"/>
      <w:kern w:val="2"/>
      <w:sz w:val="18"/>
      <w:szCs w:val="18"/>
    </w:rPr>
  </w:style>
  <w:style w:type="paragraph" w:styleId="28">
    <w:name w:val="footer"/>
    <w:basedOn w:val="1"/>
    <w:qFormat/>
    <w:uiPriority w:val="0"/>
    <w:pPr>
      <w:tabs>
        <w:tab w:val="center" w:pos="4153"/>
        <w:tab w:val="right" w:pos="8306"/>
      </w:tabs>
      <w:snapToGrid w:val="0"/>
    </w:pPr>
    <w:rPr>
      <w:sz w:val="18"/>
      <w:szCs w:val="18"/>
    </w:rPr>
  </w:style>
  <w:style w:type="paragraph" w:styleId="29">
    <w:name w:val="header"/>
    <w:basedOn w:val="1"/>
    <w:qFormat/>
    <w:uiPriority w:val="0"/>
    <w:pPr>
      <w:pBdr>
        <w:bottom w:val="thickThinLargeGap" w:color="auto" w:sz="6" w:space="1"/>
      </w:pBdr>
      <w:autoSpaceDE/>
      <w:autoSpaceDN/>
      <w:snapToGrid w:val="0"/>
      <w:spacing w:line="400" w:lineRule="atLeast"/>
      <w:jc w:val="center"/>
    </w:pPr>
    <w:rPr>
      <w:rFonts w:ascii="仿宋_GB2312" w:hAnsi="华文宋体" w:eastAsia="仿宋_GB2312"/>
      <w:b/>
      <w:bCs/>
      <w:kern w:val="2"/>
      <w:sz w:val="28"/>
      <w:szCs w:val="24"/>
    </w:rPr>
  </w:style>
  <w:style w:type="paragraph" w:styleId="30">
    <w:name w:val="toc 1"/>
    <w:basedOn w:val="1"/>
    <w:next w:val="1"/>
    <w:qFormat/>
    <w:uiPriority w:val="39"/>
  </w:style>
  <w:style w:type="paragraph" w:styleId="31">
    <w:name w:val="toc 4"/>
    <w:basedOn w:val="1"/>
    <w:next w:val="1"/>
    <w:semiHidden/>
    <w:qFormat/>
    <w:uiPriority w:val="0"/>
    <w:pPr>
      <w:autoSpaceDE/>
      <w:autoSpaceDN/>
      <w:adjustRightInd/>
      <w:spacing w:before="120" w:after="120"/>
      <w:ind w:left="630"/>
    </w:pPr>
    <w:rPr>
      <w:rFonts w:ascii="Times New Roman"/>
      <w:kern w:val="2"/>
      <w:sz w:val="21"/>
      <w:szCs w:val="18"/>
    </w:rPr>
  </w:style>
  <w:style w:type="paragraph" w:styleId="32">
    <w:name w:val="Subtitle"/>
    <w:basedOn w:val="1"/>
    <w:next w:val="1"/>
    <w:link w:val="57"/>
    <w:qFormat/>
    <w:uiPriority w:val="0"/>
    <w:pPr>
      <w:autoSpaceDE/>
      <w:autoSpaceDN/>
      <w:adjustRightInd/>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autoSpaceDE/>
      <w:autoSpaceDN/>
      <w:adjustRightInd/>
      <w:ind w:left="200" w:hanging="200" w:hangingChars="200"/>
      <w:jc w:val="both"/>
    </w:pPr>
    <w:rPr>
      <w:rFonts w:ascii="Times New Roman"/>
      <w:kern w:val="2"/>
      <w:sz w:val="21"/>
      <w:szCs w:val="24"/>
    </w:rPr>
  </w:style>
  <w:style w:type="paragraph" w:styleId="34">
    <w:name w:val="toc 6"/>
    <w:basedOn w:val="1"/>
    <w:next w:val="1"/>
    <w:semiHidden/>
    <w:qFormat/>
    <w:uiPriority w:val="0"/>
    <w:pPr>
      <w:autoSpaceDE/>
      <w:autoSpaceDN/>
      <w:adjustRightInd/>
      <w:ind w:left="1050"/>
    </w:pPr>
    <w:rPr>
      <w:rFonts w:ascii="Times New Roman"/>
      <w:kern w:val="2"/>
      <w:sz w:val="18"/>
      <w:szCs w:val="18"/>
    </w:rPr>
  </w:style>
  <w:style w:type="paragraph" w:styleId="35">
    <w:name w:val="Body Text Indent 3"/>
    <w:basedOn w:val="1"/>
    <w:qFormat/>
    <w:uiPriority w:val="0"/>
    <w:pPr>
      <w:autoSpaceDE/>
      <w:autoSpaceDN/>
      <w:adjustRightInd/>
      <w:spacing w:after="120"/>
      <w:ind w:left="420" w:leftChars="200"/>
      <w:jc w:val="both"/>
    </w:pPr>
    <w:rPr>
      <w:rFonts w:ascii="Times New Roman"/>
      <w:kern w:val="2"/>
      <w:sz w:val="16"/>
      <w:szCs w:val="16"/>
    </w:rPr>
  </w:style>
  <w:style w:type="paragraph" w:styleId="36">
    <w:name w:val="toc 2"/>
    <w:basedOn w:val="1"/>
    <w:next w:val="1"/>
    <w:qFormat/>
    <w:uiPriority w:val="39"/>
    <w:pPr>
      <w:tabs>
        <w:tab w:val="right" w:leader="dot" w:pos="8540"/>
      </w:tabs>
      <w:spacing w:line="360" w:lineRule="auto"/>
    </w:pPr>
  </w:style>
  <w:style w:type="paragraph" w:styleId="37">
    <w:name w:val="toc 9"/>
    <w:basedOn w:val="1"/>
    <w:next w:val="1"/>
    <w:semiHidden/>
    <w:qFormat/>
    <w:uiPriority w:val="0"/>
    <w:pPr>
      <w:autoSpaceDE/>
      <w:autoSpaceDN/>
      <w:adjustRightInd/>
      <w:ind w:left="1680"/>
    </w:pPr>
    <w:rPr>
      <w:rFonts w:ascii="Times New Roman"/>
      <w:kern w:val="2"/>
      <w:sz w:val="18"/>
      <w:szCs w:val="18"/>
    </w:rPr>
  </w:style>
  <w:style w:type="paragraph" w:styleId="38">
    <w:name w:val="Normal (Web)"/>
    <w:basedOn w:val="1"/>
    <w:qFormat/>
    <w:uiPriority w:val="0"/>
    <w:pPr>
      <w:widowControl/>
      <w:autoSpaceDE/>
      <w:autoSpaceDN/>
      <w:adjustRightInd/>
      <w:spacing w:before="100" w:beforeAutospacing="1" w:after="100" w:afterAutospacing="1"/>
    </w:pPr>
    <w:rPr>
      <w:rFonts w:hAnsi="宋体" w:cs="宋体"/>
      <w:sz w:val="24"/>
      <w:szCs w:val="24"/>
    </w:r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
    <w:name w:val="正文文本 字符"/>
    <w:link w:val="17"/>
    <w:qFormat/>
    <w:uiPriority w:val="0"/>
    <w:rPr>
      <w:rFonts w:eastAsia="宋体"/>
      <w:kern w:val="2"/>
      <w:sz w:val="44"/>
      <w:szCs w:val="24"/>
      <w:lang w:val="en-US" w:eastAsia="zh-CN" w:bidi="ar-SA"/>
    </w:rPr>
  </w:style>
  <w:style w:type="character" w:customStyle="1" w:styleId="48">
    <w:name w:val="正文缩进 字符"/>
    <w:link w:val="6"/>
    <w:qFormat/>
    <w:uiPriority w:val="0"/>
    <w:rPr>
      <w:rFonts w:ascii="宋体" w:eastAsia="宋体"/>
      <w:lang w:val="en-US" w:eastAsia="zh-CN" w:bidi="ar-SA"/>
    </w:rPr>
  </w:style>
  <w:style w:type="character" w:customStyle="1" w:styleId="49">
    <w:name w:val="标题 3 字符"/>
    <w:link w:val="4"/>
    <w:qFormat/>
    <w:uiPriority w:val="0"/>
    <w:rPr>
      <w:rFonts w:ascii="宋体" w:eastAsia="宋体"/>
      <w:b/>
      <w:bCs/>
      <w:sz w:val="32"/>
      <w:szCs w:val="32"/>
      <w:lang w:val="en-US" w:eastAsia="zh-CN" w:bidi="ar-SA"/>
    </w:rPr>
  </w:style>
  <w:style w:type="character" w:customStyle="1" w:styleId="50">
    <w:name w:val="apple-converted-space"/>
    <w:basedOn w:val="39"/>
    <w:qFormat/>
    <w:uiPriority w:val="0"/>
  </w:style>
  <w:style w:type="character" w:customStyle="1" w:styleId="51">
    <w:name w:val="标题 4 字符"/>
    <w:link w:val="5"/>
    <w:qFormat/>
    <w:uiPriority w:val="0"/>
    <w:rPr>
      <w:rFonts w:ascii="Arial" w:hAnsi="Arial" w:eastAsia="黑体" w:cs="Arial"/>
      <w:b/>
      <w:bCs/>
      <w:kern w:val="2"/>
      <w:sz w:val="28"/>
      <w:szCs w:val="28"/>
      <w:lang w:val="en-US" w:eastAsia="zh-CN" w:bidi="ar-SA"/>
    </w:rPr>
  </w:style>
  <w:style w:type="character" w:customStyle="1" w:styleId="52">
    <w:name w:val="kehuabt_ry1"/>
    <w:qFormat/>
    <w:uiPriority w:val="0"/>
    <w:rPr>
      <w:b/>
      <w:bCs/>
      <w:color w:val="1C7DA0"/>
      <w:sz w:val="21"/>
      <w:szCs w:val="21"/>
    </w:rPr>
  </w:style>
  <w:style w:type="character" w:customStyle="1" w:styleId="53">
    <w:name w:val="style51"/>
    <w:qFormat/>
    <w:uiPriority w:val="0"/>
    <w:rPr>
      <w:sz w:val="17"/>
      <w:szCs w:val="17"/>
    </w:rPr>
  </w:style>
  <w:style w:type="character" w:customStyle="1" w:styleId="54">
    <w:name w:val="小四 段落 宋体 Char Char"/>
    <w:link w:val="55"/>
    <w:qFormat/>
    <w:uiPriority w:val="0"/>
    <w:rPr>
      <w:rFonts w:ascii="仿宋_GB2312" w:eastAsia="仿宋_GB2312"/>
      <w:kern w:val="2"/>
      <w:sz w:val="30"/>
      <w:szCs w:val="30"/>
      <w:lang w:val="en-US" w:eastAsia="zh-CN" w:bidi="ar-SA"/>
    </w:rPr>
  </w:style>
  <w:style w:type="paragraph" w:customStyle="1" w:styleId="55">
    <w:name w:val="小四 段落 宋体 Char"/>
    <w:basedOn w:val="18"/>
    <w:link w:val="54"/>
    <w:qFormat/>
    <w:uiPriority w:val="0"/>
    <w:pPr>
      <w:ind w:left="0" w:right="-33" w:firstLine="600" w:firstLineChars="200"/>
      <w:jc w:val="left"/>
    </w:pPr>
    <w:rPr>
      <w:rFonts w:ascii="仿宋_GB2312" w:eastAsia="仿宋_GB2312"/>
      <w:sz w:val="30"/>
      <w:szCs w:val="30"/>
    </w:rPr>
  </w:style>
  <w:style w:type="character" w:customStyle="1" w:styleId="56">
    <w:name w:val="st1"/>
    <w:basedOn w:val="39"/>
    <w:qFormat/>
    <w:uiPriority w:val="0"/>
  </w:style>
  <w:style w:type="character" w:customStyle="1" w:styleId="57">
    <w:name w:val="副标题 字符"/>
    <w:link w:val="32"/>
    <w:qFormat/>
    <w:uiPriority w:val="0"/>
    <w:rPr>
      <w:rFonts w:ascii="Cambria" w:hAnsi="Cambria"/>
      <w:b/>
      <w:bCs/>
      <w:kern w:val="28"/>
      <w:sz w:val="32"/>
      <w:szCs w:val="32"/>
    </w:rPr>
  </w:style>
  <w:style w:type="character" w:customStyle="1" w:styleId="58">
    <w:name w:val="样式 仿宋_GB2312 小四 加粗 黑色"/>
    <w:qFormat/>
    <w:uiPriority w:val="0"/>
    <w:rPr>
      <w:rFonts w:ascii="仿宋_GB2312" w:eastAsia="仿宋_GB2312"/>
      <w:b/>
      <w:bCs/>
      <w:color w:val="000000"/>
      <w:kern w:val="0"/>
      <w:sz w:val="24"/>
      <w:szCs w:val="24"/>
      <w:lang w:val="en-US" w:eastAsia="zh-CN" w:bidi="ar-SA"/>
    </w:rPr>
  </w:style>
  <w:style w:type="character" w:customStyle="1" w:styleId="59">
    <w:name w:val="标题 1 字符"/>
    <w:link w:val="2"/>
    <w:qFormat/>
    <w:uiPriority w:val="0"/>
    <w:rPr>
      <w:rFonts w:ascii="宋体" w:eastAsia="宋体"/>
      <w:b/>
      <w:bCs/>
      <w:kern w:val="44"/>
      <w:sz w:val="44"/>
      <w:szCs w:val="44"/>
      <w:lang w:val="en-US" w:eastAsia="zh-CN" w:bidi="ar-SA"/>
    </w:rPr>
  </w:style>
  <w:style w:type="paragraph" w:customStyle="1" w:styleId="60">
    <w:name w:val="p0"/>
    <w:basedOn w:val="1"/>
    <w:qFormat/>
    <w:uiPriority w:val="0"/>
    <w:pPr>
      <w:widowControl/>
      <w:autoSpaceDE/>
      <w:autoSpaceDN/>
      <w:adjustRightInd/>
      <w:jc w:val="both"/>
    </w:pPr>
    <w:rPr>
      <w:rFonts w:ascii="Calibri" w:hAnsi="Calibri" w:cs="宋体"/>
      <w:sz w:val="21"/>
      <w:szCs w:val="21"/>
    </w:rPr>
  </w:style>
  <w:style w:type="paragraph" w:customStyle="1" w:styleId="61">
    <w:name w:val="2"/>
    <w:basedOn w:val="1"/>
    <w:qFormat/>
    <w:uiPriority w:val="0"/>
    <w:pPr>
      <w:autoSpaceDE/>
      <w:autoSpaceDN/>
      <w:adjustRightInd/>
      <w:jc w:val="both"/>
    </w:pPr>
    <w:rPr>
      <w:rFonts w:ascii="Tahoma" w:hAnsi="Tahoma"/>
      <w:kern w:val="2"/>
      <w:sz w:val="24"/>
    </w:rPr>
  </w:style>
  <w:style w:type="paragraph" w:customStyle="1" w:styleId="62">
    <w:name w:val="表格文字"/>
    <w:next w:val="1"/>
    <w:qFormat/>
    <w:uiPriority w:val="0"/>
    <w:rPr>
      <w:rFonts w:ascii="Times New Roman" w:hAnsi="Times New Roman" w:eastAsia="宋体" w:cs="Times New Roman"/>
      <w:sz w:val="21"/>
      <w:lang w:val="en-US" w:eastAsia="zh-CN" w:bidi="ar-SA"/>
    </w:rPr>
  </w:style>
  <w:style w:type="paragraph" w:customStyle="1" w:styleId="63">
    <w:name w:val="Char"/>
    <w:basedOn w:val="1"/>
    <w:qFormat/>
    <w:uiPriority w:val="0"/>
    <w:pPr>
      <w:tabs>
        <w:tab w:val="left" w:pos="360"/>
      </w:tabs>
      <w:autoSpaceDE/>
      <w:autoSpaceDN/>
      <w:adjustRightInd/>
      <w:jc w:val="both"/>
    </w:pPr>
    <w:rPr>
      <w:rFonts w:ascii="Times New Roman"/>
      <w:kern w:val="2"/>
      <w:sz w:val="24"/>
      <w:szCs w:val="24"/>
    </w:rPr>
  </w:style>
  <w:style w:type="paragraph" w:customStyle="1" w:styleId="64">
    <w:name w:val="符号与编号"/>
    <w:basedOn w:val="1"/>
    <w:qFormat/>
    <w:uiPriority w:val="0"/>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65">
    <w:name w:val="flType"/>
    <w:basedOn w:val="1"/>
    <w:qFormat/>
    <w:uiPriority w:val="0"/>
    <w:pPr>
      <w:tabs>
        <w:tab w:val="left" w:pos="425"/>
      </w:tabs>
      <w:autoSpaceDE/>
      <w:autoSpaceDN/>
      <w:spacing w:after="284" w:line="113" w:lineRule="atLeast"/>
      <w:jc w:val="center"/>
      <w:textAlignment w:val="baseline"/>
    </w:pPr>
    <w:rPr>
      <w:rFonts w:ascii="Times New Roman"/>
      <w:sz w:val="24"/>
    </w:rPr>
  </w:style>
  <w:style w:type="paragraph" w:customStyle="1" w:styleId="66">
    <w:name w:val="Char Char1 Char Char Char Char Char Char Char Char"/>
    <w:basedOn w:val="1"/>
    <w:qFormat/>
    <w:uiPriority w:val="0"/>
    <w:pPr>
      <w:widowControl/>
      <w:autoSpaceDE/>
      <w:autoSpaceDN/>
      <w:adjustRightInd/>
      <w:spacing w:after="160" w:line="240" w:lineRule="exact"/>
    </w:pPr>
    <w:rPr>
      <w:rFonts w:ascii="Verdana" w:hAnsi="Verdana"/>
      <w:lang w:eastAsia="en-US"/>
    </w:rPr>
  </w:style>
  <w:style w:type="paragraph" w:customStyle="1" w:styleId="67">
    <w:name w:val="_Style 16"/>
    <w:basedOn w:val="1"/>
    <w:qFormat/>
    <w:uiPriority w:val="0"/>
    <w:pPr>
      <w:autoSpaceDE/>
      <w:autoSpaceDN/>
      <w:adjustRightInd/>
      <w:jc w:val="both"/>
    </w:pPr>
    <w:rPr>
      <w:rFonts w:ascii="Tahoma" w:hAnsi="Tahoma"/>
      <w:kern w:val="2"/>
      <w:sz w:val="24"/>
    </w:rPr>
  </w:style>
  <w:style w:type="paragraph" w:customStyle="1" w:styleId="68">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69">
    <w:name w:val="Char1"/>
    <w:basedOn w:val="1"/>
    <w:qFormat/>
    <w:uiPriority w:val="0"/>
    <w:pPr>
      <w:tabs>
        <w:tab w:val="left" w:pos="420"/>
      </w:tabs>
      <w:autoSpaceDE/>
      <w:autoSpaceDN/>
      <w:adjustRightInd/>
      <w:ind w:left="420" w:hanging="420"/>
      <w:jc w:val="both"/>
    </w:pPr>
    <w:rPr>
      <w:rFonts w:ascii="Times New Roman"/>
      <w:kern w:val="2"/>
      <w:sz w:val="24"/>
      <w:szCs w:val="24"/>
    </w:rPr>
  </w:style>
  <w:style w:type="paragraph" w:customStyle="1" w:styleId="70">
    <w:name w:val="Figure Description"/>
    <w:next w:val="1"/>
    <w:qFormat/>
    <w:uiPriority w:val="0"/>
    <w:pPr>
      <w:snapToGrid w:val="0"/>
      <w:spacing w:before="80" w:after="320"/>
      <w:ind w:firstLine="425"/>
      <w:jc w:val="center"/>
    </w:pPr>
    <w:rPr>
      <w:rFonts w:ascii="Arial" w:hAnsi="Arial" w:eastAsia="黑体" w:cs="Times New Roman"/>
      <w:sz w:val="24"/>
      <w:lang w:val="en-US" w:eastAsia="zh-CN" w:bidi="ar-SA"/>
    </w:rPr>
  </w:style>
  <w:style w:type="paragraph" w:customStyle="1" w:styleId="71">
    <w:name w:val="Char Char3 Char Char Char Char Char Char Char"/>
    <w:basedOn w:val="19"/>
    <w:semiHidden/>
    <w:qFormat/>
    <w:uiPriority w:val="0"/>
    <w:rPr>
      <w:rFonts w:ascii="Tahoma" w:hAnsi="Tahoma"/>
      <w:sz w:val="24"/>
    </w:rPr>
  </w:style>
  <w:style w:type="paragraph" w:customStyle="1" w:styleId="72">
    <w:name w:val="南通方案正文"/>
    <w:basedOn w:val="1"/>
    <w:qFormat/>
    <w:uiPriority w:val="0"/>
    <w:pPr>
      <w:autoSpaceDE/>
      <w:autoSpaceDN/>
      <w:adjustRightInd/>
      <w:spacing w:line="360" w:lineRule="auto"/>
      <w:ind w:firstLine="480" w:firstLineChars="200"/>
      <w:jc w:val="both"/>
    </w:pPr>
    <w:rPr>
      <w:rFonts w:ascii="Times New Roman"/>
      <w:kern w:val="2"/>
      <w:sz w:val="24"/>
    </w:rPr>
  </w:style>
  <w:style w:type="paragraph" w:customStyle="1" w:styleId="73">
    <w:name w:val="xl2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24"/>
      <w:szCs w:val="24"/>
    </w:rPr>
  </w:style>
  <w:style w:type="paragraph" w:customStyle="1" w:styleId="74">
    <w:name w:val="Char2"/>
    <w:basedOn w:val="1"/>
    <w:qFormat/>
    <w:uiPriority w:val="0"/>
    <w:pPr>
      <w:widowControl/>
      <w:autoSpaceDE/>
      <w:autoSpaceDN/>
      <w:adjustRightInd/>
      <w:spacing w:line="240" w:lineRule="atLeast"/>
      <w:ind w:left="420" w:firstLine="420"/>
    </w:pPr>
    <w:rPr>
      <w:rFonts w:hAnsi="宋体" w:cs="宋体"/>
      <w:sz w:val="24"/>
      <w:szCs w:val="21"/>
    </w:rPr>
  </w:style>
  <w:style w:type="paragraph" w:customStyle="1" w:styleId="75">
    <w:name w:val="List Paragraph"/>
    <w:basedOn w:val="1"/>
    <w:qFormat/>
    <w:uiPriority w:val="0"/>
    <w:pPr>
      <w:autoSpaceDE/>
      <w:autoSpaceDN/>
      <w:adjustRightInd/>
      <w:ind w:firstLine="420" w:firstLineChars="200"/>
      <w:jc w:val="both"/>
    </w:pPr>
    <w:rPr>
      <w:rFonts w:ascii="Calibri" w:hAnsi="Calibri"/>
      <w:kern w:val="2"/>
      <w:sz w:val="21"/>
      <w:szCs w:val="22"/>
    </w:rPr>
  </w:style>
  <w:style w:type="paragraph" w:customStyle="1" w:styleId="76">
    <w:name w:val="样式 样式 左 首行缩进:2 字符 + 首行缩进:  2 字符 + 首行缩进:  2 字符"/>
    <w:basedOn w:val="1"/>
    <w:qFormat/>
    <w:uiPriority w:val="0"/>
    <w:pPr>
      <w:widowControl/>
      <w:autoSpaceDE/>
      <w:autoSpaceDN/>
      <w:ind w:left="420" w:leftChars="200" w:firstLine="420" w:firstLineChars="200"/>
      <w:textAlignment w:val="baseline"/>
    </w:pPr>
    <w:rPr>
      <w:rFonts w:hAnsi="宋体"/>
      <w:sz w:val="21"/>
      <w:szCs w:val="21"/>
      <w:lang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EBB0B-E710-4F38-ABA9-69C6F7373B25}">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2574</Words>
  <Characters>14678</Characters>
  <Lines>122</Lines>
  <Paragraphs>34</Paragraphs>
  <ScaleCrop>false</ScaleCrop>
  <LinksUpToDate>false</LinksUpToDate>
  <CharactersWithSpaces>17218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2016-08-04T01:36:00Z</dcterms:created>
  <dc:creator>雨林木风</dc:creator>
  <cp:lastModifiedBy>Administrator</cp:lastModifiedBy>
  <cp:lastPrinted>2016-08-29T08:21:00Z</cp:lastPrinted>
  <dcterms:modified xsi:type="dcterms:W3CDTF">2016-12-12T07:06:37Z</dcterms:modified>
  <dc:title>南京审计学院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